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FC" w:rsidRDefault="00DB0FBE" w:rsidP="003733C9">
      <w:pPr>
        <w:tabs>
          <w:tab w:val="left" w:pos="2552"/>
          <w:tab w:val="left" w:pos="3261"/>
        </w:tabs>
        <w:spacing w:after="0" w:line="240" w:lineRule="auto"/>
        <w:ind w:left="-851" w:right="-612"/>
        <w:rPr>
          <w:rFonts w:ascii="Cambria" w:hAnsi="Cambria"/>
          <w:lang w:val="en-US"/>
        </w:rPr>
      </w:pPr>
      <w:r w:rsidRPr="001656FD">
        <w:rPr>
          <w:rFonts w:ascii="Cambria" w:hAnsi="Cambria"/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E20002" wp14:editId="1B49A2D3">
                <wp:simplePos x="0" y="0"/>
                <wp:positionH relativeFrom="page">
                  <wp:posOffset>286603</wp:posOffset>
                </wp:positionH>
                <wp:positionV relativeFrom="paragraph">
                  <wp:posOffset>2054623</wp:posOffset>
                </wp:positionV>
                <wp:extent cx="2703195" cy="1119116"/>
                <wp:effectExtent l="0" t="0" r="1905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111911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C47CA" id="Rectangle 9" o:spid="_x0000_s1026" style="position:absolute;margin-left:22.55pt;margin-top:161.8pt;width:212.8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" fillcolor="#e7e6e6 [3214]" stroked="f" strokeweight=".5pt">
                <w10:wrap anchorx="page"/>
              </v:rect>
            </w:pict>
          </mc:Fallback>
        </mc:AlternateContent>
      </w:r>
      <w:r w:rsidRPr="00CD6E18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6B9F9D" wp14:editId="1B7496D5">
                <wp:simplePos x="0" y="0"/>
                <wp:positionH relativeFrom="page">
                  <wp:posOffset>288290</wp:posOffset>
                </wp:positionH>
                <wp:positionV relativeFrom="paragraph">
                  <wp:posOffset>-168910</wp:posOffset>
                </wp:positionV>
                <wp:extent cx="2703600" cy="2034000"/>
                <wp:effectExtent l="0" t="0" r="1905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0" cy="203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E665B" id="Rectangle 1" o:spid="_x0000_s1026" style="position:absolute;margin-left:22.7pt;margin-top:-13.3pt;width:212.9pt;height:16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" fillcolor="#e7e6e6 [3214]" stroked="f" strokeweight="1pt">
                <w10:wrap anchorx="page"/>
              </v:rect>
            </w:pict>
          </mc:Fallback>
        </mc:AlternateContent>
      </w:r>
    </w:p>
    <w:tbl>
      <w:tblPr>
        <w:tblStyle w:val="TableGrid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236"/>
        <w:gridCol w:w="6466"/>
      </w:tblGrid>
      <w:tr w:rsidR="00D266DD" w:rsidRPr="00E97973" w:rsidTr="00185F1A">
        <w:trPr>
          <w:trHeight w:val="1907"/>
        </w:trPr>
        <w:tc>
          <w:tcPr>
            <w:tcW w:w="4214" w:type="dxa"/>
          </w:tcPr>
          <w:p w:rsidR="00D266DD" w:rsidRPr="00831A3B" w:rsidRDefault="006E1027" w:rsidP="00664CC3">
            <w:pPr>
              <w:rPr>
                <w:rFonts w:ascii="Cambria" w:hAnsi="Cambria"/>
                <w:b/>
                <w:bCs/>
                <w:sz w:val="18"/>
                <w:lang w:val="ru-RU" w:eastAsia="en-GB"/>
              </w:rPr>
            </w:pPr>
            <w:r w:rsidRPr="009F4687">
              <w:rPr>
                <w:rFonts w:ascii="Cambria" w:hAnsi="Cambria"/>
                <w:b/>
                <w:bCs/>
                <w:sz w:val="18"/>
                <w:lang w:val="ru-RU" w:eastAsia="en-GB"/>
              </w:rPr>
              <w:t>Ответственный</w:t>
            </w:r>
            <w:r w:rsidRPr="00831A3B">
              <w:rPr>
                <w:rFonts w:ascii="Cambria" w:hAnsi="Cambria"/>
                <w:b/>
                <w:bCs/>
                <w:sz w:val="18"/>
                <w:lang w:val="ru-RU" w:eastAsia="en-GB"/>
              </w:rPr>
              <w:t xml:space="preserve"> </w:t>
            </w:r>
            <w:r w:rsidRPr="009F4687">
              <w:rPr>
                <w:rFonts w:ascii="Cambria" w:hAnsi="Cambria"/>
                <w:b/>
                <w:bCs/>
                <w:sz w:val="18"/>
                <w:lang w:val="ru-RU" w:eastAsia="en-GB"/>
              </w:rPr>
              <w:t>эксперт</w:t>
            </w:r>
            <w:r w:rsidR="00D266DD" w:rsidRPr="00831A3B">
              <w:rPr>
                <w:rFonts w:ascii="Cambria" w:hAnsi="Cambria"/>
                <w:b/>
                <w:bCs/>
                <w:sz w:val="18"/>
                <w:lang w:val="ru-RU" w:eastAsia="en-GB"/>
              </w:rPr>
              <w:t>:</w:t>
            </w:r>
          </w:p>
          <w:p w:rsidR="00D266DD" w:rsidRPr="006E1027" w:rsidRDefault="006E1027" w:rsidP="00664CC3">
            <w:pPr>
              <w:tabs>
                <w:tab w:val="center" w:pos="2160"/>
              </w:tabs>
              <w:rPr>
                <w:rFonts w:ascii="Cambria" w:hAnsi="Cambria"/>
                <w:bCs/>
                <w:sz w:val="16"/>
                <w:lang w:val="ru-RU" w:eastAsia="en-GB"/>
              </w:rPr>
            </w:pPr>
            <w:r>
              <w:rPr>
                <w:rFonts w:ascii="Cambria" w:hAnsi="Cambria"/>
                <w:bCs/>
                <w:sz w:val="18"/>
                <w:lang w:val="ru-RU" w:eastAsia="en-GB"/>
              </w:rPr>
              <w:t>Владимир Горчаков</w:t>
            </w:r>
          </w:p>
          <w:p w:rsidR="00D402C4" w:rsidRPr="00831A3B" w:rsidRDefault="004E4A51" w:rsidP="00664CC3">
            <w:pPr>
              <w:tabs>
                <w:tab w:val="center" w:pos="2160"/>
              </w:tabs>
              <w:rPr>
                <w:rFonts w:ascii="Cambria" w:hAnsi="Cambria"/>
                <w:sz w:val="20"/>
                <w:lang w:val="ru-RU" w:eastAsia="de-DE"/>
              </w:rPr>
            </w:pPr>
            <w:r>
              <w:rPr>
                <w:rFonts w:ascii="Cambria" w:hAnsi="Cambria"/>
                <w:bCs/>
                <w:sz w:val="18"/>
                <w:lang w:eastAsia="en-GB"/>
              </w:rPr>
              <w:t>Associate</w:t>
            </w:r>
            <w:r w:rsidRPr="00831A3B">
              <w:rPr>
                <w:rFonts w:ascii="Cambria" w:hAnsi="Cambria"/>
                <w:bCs/>
                <w:sz w:val="18"/>
                <w:lang w:val="ru-RU" w:eastAsia="en-GB"/>
              </w:rPr>
              <w:t xml:space="preserve"> </w:t>
            </w:r>
            <w:r w:rsidR="00EA6628">
              <w:rPr>
                <w:rFonts w:ascii="Cambria" w:hAnsi="Cambria"/>
                <w:bCs/>
                <w:sz w:val="18"/>
                <w:lang w:eastAsia="en-GB"/>
              </w:rPr>
              <w:t>D</w:t>
            </w:r>
            <w:r>
              <w:rPr>
                <w:rFonts w:ascii="Cambria" w:hAnsi="Cambria"/>
                <w:bCs/>
                <w:sz w:val="18"/>
                <w:lang w:eastAsia="en-GB"/>
              </w:rPr>
              <w:t>irector</w:t>
            </w:r>
          </w:p>
          <w:p w:rsidR="00D266DD" w:rsidRPr="00831A3B" w:rsidRDefault="00D266DD" w:rsidP="00664CC3">
            <w:pPr>
              <w:ind w:right="-1039"/>
              <w:rPr>
                <w:rFonts w:ascii="Cambria" w:hAnsi="Cambria"/>
                <w:b/>
                <w:sz w:val="18"/>
                <w:lang w:val="ru-RU" w:eastAsia="de-DE"/>
              </w:rPr>
            </w:pPr>
          </w:p>
          <w:p w:rsidR="006E1027" w:rsidRPr="003B4CF6" w:rsidRDefault="006E1027" w:rsidP="006E1027">
            <w:pPr>
              <w:ind w:right="-1039"/>
              <w:rPr>
                <w:rFonts w:ascii="Cambria" w:hAnsi="Cambria"/>
                <w:b/>
                <w:sz w:val="18"/>
                <w:lang w:val="ru-RU" w:eastAsia="de-DE"/>
              </w:rPr>
            </w:pPr>
            <w:r w:rsidRPr="00BC1727">
              <w:rPr>
                <w:rFonts w:ascii="Cambria" w:hAnsi="Cambria"/>
                <w:b/>
                <w:sz w:val="18"/>
                <w:lang w:val="ru-RU" w:eastAsia="de-DE"/>
              </w:rPr>
              <w:t>За</w:t>
            </w:r>
            <w:r w:rsidRPr="003B4CF6">
              <w:rPr>
                <w:rFonts w:ascii="Cambria" w:hAnsi="Cambria"/>
                <w:b/>
                <w:sz w:val="18"/>
                <w:lang w:val="ru-RU" w:eastAsia="de-DE"/>
              </w:rPr>
              <w:t xml:space="preserve"> </w:t>
            </w:r>
            <w:r w:rsidRPr="00BC1727">
              <w:rPr>
                <w:rFonts w:ascii="Cambria" w:hAnsi="Cambria"/>
                <w:b/>
                <w:sz w:val="18"/>
                <w:lang w:val="ru-RU" w:eastAsia="de-DE"/>
              </w:rPr>
              <w:t>дополнительной</w:t>
            </w:r>
            <w:r w:rsidRPr="003B4CF6">
              <w:rPr>
                <w:rFonts w:ascii="Cambria" w:hAnsi="Cambria"/>
                <w:b/>
                <w:sz w:val="18"/>
                <w:lang w:val="ru-RU" w:eastAsia="de-DE"/>
              </w:rPr>
              <w:t xml:space="preserve"> </w:t>
            </w:r>
            <w:r w:rsidRPr="00BC1727">
              <w:rPr>
                <w:rFonts w:ascii="Cambria" w:hAnsi="Cambria"/>
                <w:b/>
                <w:sz w:val="18"/>
                <w:lang w:val="ru-RU" w:eastAsia="de-DE"/>
              </w:rPr>
              <w:t>информацией</w:t>
            </w:r>
            <w:r w:rsidRPr="003B4CF6">
              <w:rPr>
                <w:rFonts w:ascii="Cambria" w:hAnsi="Cambria"/>
                <w:b/>
                <w:sz w:val="18"/>
                <w:lang w:val="ru-RU" w:eastAsia="de-DE"/>
              </w:rPr>
              <w:t xml:space="preserve"> </w:t>
            </w:r>
          </w:p>
          <w:p w:rsidR="00D266DD" w:rsidRPr="00831A3B" w:rsidRDefault="006E1027" w:rsidP="006E1027">
            <w:pPr>
              <w:ind w:right="-1039"/>
              <w:rPr>
                <w:rFonts w:ascii="Cambria" w:hAnsi="Cambria"/>
                <w:b/>
                <w:sz w:val="18"/>
                <w:lang w:val="ru-RU" w:eastAsia="de-DE"/>
              </w:rPr>
            </w:pPr>
            <w:r w:rsidRPr="00BC1727">
              <w:rPr>
                <w:rFonts w:ascii="Cambria" w:hAnsi="Cambria"/>
                <w:b/>
                <w:sz w:val="18"/>
                <w:lang w:val="ru-RU" w:eastAsia="de-DE"/>
              </w:rPr>
              <w:t>обращайтесь</w:t>
            </w:r>
            <w:r w:rsidR="00D266DD" w:rsidRPr="00831A3B">
              <w:rPr>
                <w:rFonts w:ascii="Cambria" w:hAnsi="Cambria"/>
                <w:b/>
                <w:sz w:val="18"/>
                <w:lang w:val="ru-RU" w:eastAsia="de-DE"/>
              </w:rPr>
              <w:t>:</w:t>
            </w:r>
          </w:p>
          <w:p w:rsidR="00D266DD" w:rsidRPr="00831A3B" w:rsidRDefault="00D266DD" w:rsidP="00664CC3">
            <w:pPr>
              <w:pStyle w:val="NoSpacing"/>
              <w:rPr>
                <w:rFonts w:ascii="Cambria" w:hAnsi="Cambria"/>
                <w:sz w:val="18"/>
                <w:lang w:val="ru-RU"/>
              </w:rPr>
            </w:pPr>
            <w:r w:rsidRPr="007D7503">
              <w:rPr>
                <w:rFonts w:ascii="Cambria" w:hAnsi="Cambria"/>
                <w:sz w:val="18"/>
                <w:lang w:val="en-US"/>
              </w:rPr>
              <w:t>Rating</w:t>
            </w:r>
            <w:r w:rsidRPr="00831A3B">
              <w:rPr>
                <w:rFonts w:ascii="Cambria" w:hAnsi="Cambria"/>
                <w:sz w:val="18"/>
                <w:lang w:val="ru-RU"/>
              </w:rPr>
              <w:t>-</w:t>
            </w:r>
            <w:proofErr w:type="spellStart"/>
            <w:r w:rsidRPr="007D7503">
              <w:rPr>
                <w:rFonts w:ascii="Cambria" w:hAnsi="Cambria"/>
                <w:sz w:val="18"/>
                <w:lang w:val="en-US"/>
              </w:rPr>
              <w:t>Agentur</w:t>
            </w:r>
            <w:proofErr w:type="spellEnd"/>
            <w:r w:rsidRPr="00831A3B">
              <w:rPr>
                <w:rFonts w:ascii="Cambria" w:hAnsi="Cambria"/>
                <w:sz w:val="18"/>
                <w:lang w:val="ru-RU"/>
              </w:rPr>
              <w:t xml:space="preserve"> </w:t>
            </w:r>
            <w:r w:rsidRPr="007D7503">
              <w:rPr>
                <w:rFonts w:ascii="Cambria" w:hAnsi="Cambria"/>
                <w:sz w:val="18"/>
                <w:lang w:val="en-US"/>
              </w:rPr>
              <w:t>Expert</w:t>
            </w:r>
            <w:r w:rsidRPr="00831A3B">
              <w:rPr>
                <w:rFonts w:ascii="Cambria" w:hAnsi="Cambria"/>
                <w:sz w:val="18"/>
                <w:lang w:val="ru-RU"/>
              </w:rPr>
              <w:t xml:space="preserve"> </w:t>
            </w:r>
            <w:r w:rsidRPr="007D7503">
              <w:rPr>
                <w:rFonts w:ascii="Cambria" w:hAnsi="Cambria"/>
                <w:sz w:val="18"/>
                <w:lang w:val="en-US"/>
              </w:rPr>
              <w:t>RA</w:t>
            </w:r>
            <w:r w:rsidRPr="00831A3B">
              <w:rPr>
                <w:rFonts w:ascii="Cambria" w:hAnsi="Cambria"/>
                <w:sz w:val="18"/>
                <w:lang w:val="ru-RU"/>
              </w:rPr>
              <w:t xml:space="preserve"> </w:t>
            </w:r>
            <w:r w:rsidRPr="007D7503">
              <w:rPr>
                <w:rFonts w:ascii="Cambria" w:hAnsi="Cambria"/>
                <w:sz w:val="18"/>
                <w:lang w:val="en-US"/>
              </w:rPr>
              <w:t>GmbH</w:t>
            </w:r>
          </w:p>
          <w:p w:rsidR="00D266DD" w:rsidRPr="0003637A" w:rsidRDefault="0003637A" w:rsidP="00664CC3">
            <w:pPr>
              <w:pStyle w:val="NoSpacing"/>
              <w:rPr>
                <w:rFonts w:ascii="Cambria" w:hAnsi="Cambria"/>
                <w:sz w:val="18"/>
              </w:rPr>
            </w:pPr>
            <w:r w:rsidRPr="0003637A">
              <w:rPr>
                <w:rFonts w:ascii="Cambria" w:hAnsi="Cambria"/>
                <w:sz w:val="18"/>
              </w:rPr>
              <w:t>Walter-Kolb-Strasse 9-11</w:t>
            </w:r>
            <w:r w:rsidR="00D266DD" w:rsidRPr="0003637A">
              <w:rPr>
                <w:rFonts w:ascii="Cambria" w:hAnsi="Cambria"/>
                <w:sz w:val="18"/>
              </w:rPr>
              <w:t>,</w:t>
            </w:r>
          </w:p>
          <w:p w:rsidR="00D266DD" w:rsidRPr="007F48CB" w:rsidRDefault="0003637A" w:rsidP="00664CC3">
            <w:pPr>
              <w:pStyle w:val="NoSpacing"/>
              <w:rPr>
                <w:rFonts w:ascii="Cambria" w:hAnsi="Cambria"/>
                <w:sz w:val="18"/>
              </w:rPr>
            </w:pPr>
            <w:r w:rsidRPr="007F48CB">
              <w:rPr>
                <w:rFonts w:ascii="Cambria" w:hAnsi="Cambria"/>
                <w:sz w:val="18"/>
              </w:rPr>
              <w:t xml:space="preserve">60594 </w:t>
            </w:r>
            <w:r w:rsidR="00D266DD" w:rsidRPr="007F48CB">
              <w:rPr>
                <w:rFonts w:ascii="Cambria" w:hAnsi="Cambria"/>
                <w:sz w:val="18"/>
              </w:rPr>
              <w:t>Frankfurt am Main, Germany</w:t>
            </w:r>
          </w:p>
          <w:p w:rsidR="00D266DD" w:rsidRPr="007F48CB" w:rsidRDefault="00D266DD" w:rsidP="00664CC3">
            <w:pPr>
              <w:pStyle w:val="NoSpacing"/>
              <w:rPr>
                <w:rFonts w:ascii="Cambria" w:hAnsi="Cambria"/>
                <w:sz w:val="18"/>
              </w:rPr>
            </w:pPr>
            <w:r w:rsidRPr="007F48CB">
              <w:rPr>
                <w:rFonts w:ascii="Cambria" w:hAnsi="Cambria"/>
                <w:sz w:val="18"/>
              </w:rPr>
              <w:t>+49 (69) 3085-</w:t>
            </w:r>
            <w:r w:rsidR="0003637A" w:rsidRPr="007F48CB">
              <w:rPr>
                <w:rFonts w:ascii="Cambria" w:hAnsi="Cambria"/>
                <w:sz w:val="18"/>
              </w:rPr>
              <w:t>45</w:t>
            </w:r>
            <w:r w:rsidRPr="007F48CB">
              <w:rPr>
                <w:rFonts w:ascii="Cambria" w:hAnsi="Cambria"/>
                <w:sz w:val="18"/>
              </w:rPr>
              <w:t>-</w:t>
            </w:r>
            <w:r w:rsidR="0003637A" w:rsidRPr="007F48CB">
              <w:rPr>
                <w:rFonts w:ascii="Cambria" w:hAnsi="Cambria"/>
                <w:sz w:val="18"/>
              </w:rPr>
              <w:t>00</w:t>
            </w:r>
            <w:r w:rsidR="00E61762" w:rsidRPr="007F48CB">
              <w:rPr>
                <w:rFonts w:ascii="Cambria" w:hAnsi="Cambria"/>
                <w:sz w:val="18"/>
              </w:rPr>
              <w:t xml:space="preserve">, </w:t>
            </w:r>
            <w:r w:rsidR="004E4A51" w:rsidRPr="007F48CB">
              <w:rPr>
                <w:rFonts w:ascii="Cambria" w:hAnsi="Cambria"/>
                <w:sz w:val="18"/>
              </w:rPr>
              <w:t>1211</w:t>
            </w:r>
          </w:p>
          <w:p w:rsidR="00D266DD" w:rsidRPr="004E4A51" w:rsidRDefault="00D266DD" w:rsidP="00664CC3">
            <w:pPr>
              <w:pStyle w:val="NoSpacing"/>
              <w:rPr>
                <w:rFonts w:ascii="Cambria" w:hAnsi="Cambria"/>
                <w:sz w:val="18"/>
              </w:rPr>
            </w:pPr>
            <w:r w:rsidRPr="004E4A51">
              <w:rPr>
                <w:rFonts w:ascii="Cambria" w:hAnsi="Cambria"/>
                <w:sz w:val="18"/>
              </w:rPr>
              <w:t xml:space="preserve">E-mail: </w:t>
            </w:r>
            <w:hyperlink r:id="rId8" w:history="1">
              <w:r w:rsidR="004E4A51" w:rsidRPr="004E4A51">
                <w:rPr>
                  <w:rStyle w:val="Hyperlink"/>
                  <w:rFonts w:ascii="Cambria" w:hAnsi="Cambria"/>
                  <w:sz w:val="18"/>
                </w:rPr>
                <w:t>gorchakov@raexpert.eu</w:t>
              </w:r>
            </w:hyperlink>
            <w:r w:rsidR="00E97973">
              <w:fldChar w:fldCharType="begin"/>
            </w:r>
            <w:r w:rsidR="00E97973">
              <w:instrText xml:space="preserve"> HYPERLINK "mailto:info@raexpert.eu" </w:instrText>
            </w:r>
            <w:r w:rsidR="00E97973">
              <w:fldChar w:fldCharType="separate"/>
            </w:r>
            <w:r w:rsidR="00E97973">
              <w:fldChar w:fldCharType="end"/>
            </w:r>
          </w:p>
          <w:p w:rsidR="00D266DD" w:rsidRPr="00516186" w:rsidRDefault="00BB1F3B" w:rsidP="00664CC3">
            <w:pPr>
              <w:pStyle w:val="NoSpacing"/>
              <w:rPr>
                <w:rFonts w:ascii="Cambria" w:hAnsi="Cambria"/>
                <w:sz w:val="18"/>
                <w:lang w:val="en-US"/>
              </w:rPr>
            </w:pPr>
            <w:r w:rsidRPr="004E4A51">
              <w:rPr>
                <w:rFonts w:ascii="Cambria" w:hAnsi="Cambria"/>
              </w:rPr>
              <w:t xml:space="preserve">            </w:t>
            </w:r>
            <w:hyperlink r:id="rId9" w:history="1">
              <w:r w:rsidR="00D266DD" w:rsidRPr="00516186">
                <w:rPr>
                  <w:rStyle w:val="Hyperlink"/>
                  <w:rFonts w:ascii="Cambria" w:hAnsi="Cambria"/>
                  <w:sz w:val="18"/>
                  <w:lang w:val="en-US"/>
                </w:rPr>
                <w:t>www.raexpert.eu</w:t>
              </w:r>
            </w:hyperlink>
          </w:p>
          <w:p w:rsidR="00D266DD" w:rsidRPr="00516186" w:rsidRDefault="00D266DD" w:rsidP="00664CC3">
            <w:pPr>
              <w:ind w:right="-1039"/>
              <w:rPr>
                <w:rFonts w:ascii="Cambria" w:hAnsi="Cambria"/>
                <w:lang w:val="en-US"/>
              </w:rPr>
            </w:pPr>
          </w:p>
          <w:p w:rsidR="003733C9" w:rsidRPr="00516186" w:rsidRDefault="003733C9" w:rsidP="00664CC3">
            <w:pPr>
              <w:rPr>
                <w:rFonts w:ascii="Cambria" w:hAnsi="Cambria"/>
                <w:b/>
                <w:sz w:val="6"/>
                <w:szCs w:val="6"/>
                <w:lang w:val="en-US"/>
              </w:rPr>
            </w:pPr>
          </w:p>
          <w:p w:rsidR="00861F97" w:rsidRPr="00516186" w:rsidRDefault="00861F97" w:rsidP="00664CC3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  <w:p w:rsidR="00E70D0C" w:rsidRDefault="006E1027" w:rsidP="00E70D0C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6E1027">
              <w:rPr>
                <w:rFonts w:ascii="Cambria" w:hAnsi="Cambria"/>
                <w:b/>
                <w:sz w:val="18"/>
                <w:szCs w:val="18"/>
              </w:rPr>
              <w:t>Рейтинги</w:t>
            </w:r>
            <w:proofErr w:type="spellEnd"/>
          </w:p>
          <w:p w:rsidR="006E1027" w:rsidRPr="000653FD" w:rsidRDefault="006E1027" w:rsidP="00E70D0C">
            <w:pPr>
              <w:rPr>
                <w:rFonts w:ascii="Cambria" w:hAnsi="Cambria"/>
                <w:color w:val="FFFFFF" w:themeColor="background1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3"/>
              <w:gridCol w:w="835"/>
            </w:tblGrid>
            <w:tr w:rsidR="00E70D0C" w:rsidRPr="000653FD" w:rsidTr="00664CC3">
              <w:tc>
                <w:tcPr>
                  <w:tcW w:w="3153" w:type="dxa"/>
                </w:tcPr>
                <w:p w:rsidR="00E70D0C" w:rsidRPr="006E1027" w:rsidRDefault="006E1027" w:rsidP="00664CC3">
                  <w:pPr>
                    <w:ind w:left="68"/>
                    <w:rPr>
                      <w:rFonts w:ascii="Cambria" w:hAnsi="Cambria"/>
                      <w:sz w:val="18"/>
                      <w:lang w:val="ru-RU"/>
                    </w:rPr>
                  </w:pPr>
                  <w:r w:rsidRPr="00052E03">
                    <w:rPr>
                      <w:rFonts w:ascii="Cambria" w:hAnsi="Cambria"/>
                      <w:sz w:val="16"/>
                      <w:lang w:val="ru-RU"/>
                    </w:rPr>
                    <w:t>Рейтинг суверенного правительства (</w:t>
                  </w:r>
                  <w:r>
                    <w:rPr>
                      <w:rFonts w:ascii="Cambria" w:hAnsi="Cambria"/>
                      <w:sz w:val="16"/>
                      <w:lang w:val="ru-RU"/>
                    </w:rPr>
                    <w:t>национальная валюта</w:t>
                  </w:r>
                  <w:r w:rsidRPr="00052E03">
                    <w:rPr>
                      <w:rFonts w:ascii="Cambria" w:hAnsi="Cambria"/>
                      <w:sz w:val="16"/>
                      <w:lang w:val="ru-RU"/>
                    </w:rPr>
                    <w:t>)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 xml:space="preserve"> (</w:t>
                  </w:r>
                  <w:r>
                    <w:rPr>
                      <w:rFonts w:ascii="Cambria" w:hAnsi="Cambria"/>
                      <w:sz w:val="16"/>
                      <w:lang w:val="en-US"/>
                    </w:rPr>
                    <w:t>SGC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 xml:space="preserve"> </w:t>
                  </w:r>
                  <w:r>
                    <w:rPr>
                      <w:rFonts w:ascii="Cambria" w:hAnsi="Cambria"/>
                      <w:sz w:val="16"/>
                      <w:lang w:val="en-US"/>
                    </w:rPr>
                    <w:t>LC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>)</w:t>
                  </w:r>
                </w:p>
              </w:tc>
              <w:tc>
                <w:tcPr>
                  <w:tcW w:w="835" w:type="dxa"/>
                </w:tcPr>
                <w:p w:rsidR="00E70D0C" w:rsidRPr="000653FD" w:rsidRDefault="004E4A51" w:rsidP="00E70D0C">
                  <w:pPr>
                    <w:rPr>
                      <w:rFonts w:ascii="Cambria" w:hAnsi="Cambria"/>
                      <w:b/>
                      <w:color w:val="FF9900"/>
                      <w:sz w:val="18"/>
                    </w:rPr>
                  </w:pPr>
                  <w:r>
                    <w:rPr>
                      <w:rFonts w:ascii="Cambria" w:hAnsi="Cambria"/>
                      <w:b/>
                      <w:color w:val="FF9900"/>
                      <w:sz w:val="18"/>
                    </w:rPr>
                    <w:t>BB-</w:t>
                  </w:r>
                </w:p>
              </w:tc>
            </w:tr>
            <w:tr w:rsidR="00E70D0C" w:rsidRPr="00831A3B" w:rsidTr="00664CC3">
              <w:tc>
                <w:tcPr>
                  <w:tcW w:w="3153" w:type="dxa"/>
                </w:tcPr>
                <w:p w:rsidR="00E70D0C" w:rsidRPr="006E1027" w:rsidRDefault="006E1027" w:rsidP="00664CC3">
                  <w:pPr>
                    <w:ind w:left="68"/>
                    <w:rPr>
                      <w:rFonts w:ascii="Cambria" w:hAnsi="Cambria"/>
                      <w:sz w:val="18"/>
                      <w:lang w:val="ru-RU"/>
                    </w:rPr>
                  </w:pPr>
                  <w:r w:rsidRPr="00052E03">
                    <w:rPr>
                      <w:rFonts w:ascii="Cambria" w:hAnsi="Cambria"/>
                      <w:sz w:val="16"/>
                      <w:lang w:val="ru-RU"/>
                    </w:rPr>
                    <w:t xml:space="preserve">Рейтинг суверенного правительства 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>(</w:t>
                  </w:r>
                  <w:r>
                    <w:rPr>
                      <w:rFonts w:ascii="Cambria" w:hAnsi="Cambria"/>
                      <w:sz w:val="16"/>
                      <w:lang w:val="ru-RU"/>
                    </w:rPr>
                    <w:t>иностранная валюта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>) (</w:t>
                  </w:r>
                  <w:r>
                    <w:rPr>
                      <w:rFonts w:ascii="Cambria" w:hAnsi="Cambria"/>
                      <w:sz w:val="16"/>
                      <w:lang w:val="en-US"/>
                    </w:rPr>
                    <w:t>SGC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 xml:space="preserve"> </w:t>
                  </w:r>
                  <w:r>
                    <w:rPr>
                      <w:rFonts w:ascii="Cambria" w:hAnsi="Cambria"/>
                      <w:sz w:val="16"/>
                      <w:lang w:val="en-US"/>
                    </w:rPr>
                    <w:t>FC</w:t>
                  </w:r>
                  <w:r w:rsidRPr="0080385A">
                    <w:rPr>
                      <w:rFonts w:ascii="Cambria" w:hAnsi="Cambria"/>
                      <w:sz w:val="16"/>
                      <w:lang w:val="ru-RU"/>
                    </w:rPr>
                    <w:t>)</w:t>
                  </w:r>
                </w:p>
              </w:tc>
              <w:tc>
                <w:tcPr>
                  <w:tcW w:w="835" w:type="dxa"/>
                </w:tcPr>
                <w:p w:rsidR="00E70D0C" w:rsidRPr="00831A3B" w:rsidRDefault="004E4A51" w:rsidP="00E70D0C">
                  <w:pPr>
                    <w:rPr>
                      <w:rFonts w:ascii="Cambria" w:hAnsi="Cambria"/>
                      <w:b/>
                      <w:color w:val="FF9900"/>
                      <w:sz w:val="18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color w:val="FF9900"/>
                      <w:sz w:val="18"/>
                    </w:rPr>
                    <w:t>BB</w:t>
                  </w:r>
                  <w:r w:rsidRPr="00831A3B">
                    <w:rPr>
                      <w:rFonts w:ascii="Cambria" w:hAnsi="Cambria"/>
                      <w:b/>
                      <w:color w:val="FF9900"/>
                      <w:sz w:val="18"/>
                      <w:lang w:val="ru-RU"/>
                    </w:rPr>
                    <w:t>-</w:t>
                  </w:r>
                </w:p>
              </w:tc>
            </w:tr>
            <w:tr w:rsidR="00E70D0C" w:rsidRPr="00831A3B" w:rsidTr="00664CC3">
              <w:trPr>
                <w:trHeight w:val="20"/>
              </w:trPr>
              <w:tc>
                <w:tcPr>
                  <w:tcW w:w="3153" w:type="dxa"/>
                </w:tcPr>
                <w:p w:rsidR="00E70D0C" w:rsidRPr="00831A3B" w:rsidRDefault="00E70D0C" w:rsidP="00664CC3">
                  <w:pPr>
                    <w:ind w:left="68"/>
                    <w:contextualSpacing/>
                    <w:rPr>
                      <w:rFonts w:ascii="Cambria" w:hAnsi="Cambria"/>
                      <w:sz w:val="18"/>
                      <w:lang w:val="ru-RU"/>
                    </w:rPr>
                  </w:pPr>
                </w:p>
              </w:tc>
              <w:tc>
                <w:tcPr>
                  <w:tcW w:w="835" w:type="dxa"/>
                </w:tcPr>
                <w:p w:rsidR="00E70D0C" w:rsidRPr="00831A3B" w:rsidRDefault="00E70D0C" w:rsidP="00E70D0C">
                  <w:pPr>
                    <w:contextualSpacing/>
                    <w:rPr>
                      <w:rFonts w:ascii="Cambria" w:hAnsi="Cambria"/>
                      <w:b/>
                      <w:color w:val="FF9900"/>
                      <w:sz w:val="18"/>
                      <w:lang w:val="ru-RU"/>
                    </w:rPr>
                  </w:pPr>
                </w:p>
              </w:tc>
            </w:tr>
            <w:tr w:rsidR="00E70D0C" w:rsidRPr="00831A3B" w:rsidTr="00664CC3">
              <w:tc>
                <w:tcPr>
                  <w:tcW w:w="3153" w:type="dxa"/>
                </w:tcPr>
                <w:p w:rsidR="00E70D0C" w:rsidRPr="00831A3B" w:rsidRDefault="006E1027" w:rsidP="00664CC3">
                  <w:pPr>
                    <w:ind w:left="68"/>
                    <w:rPr>
                      <w:rFonts w:ascii="Cambria" w:hAnsi="Cambria"/>
                      <w:sz w:val="18"/>
                      <w:lang w:val="ru-RU"/>
                    </w:rPr>
                  </w:pPr>
                  <w:r w:rsidRPr="00493D02">
                    <w:rPr>
                      <w:rFonts w:ascii="Cambria" w:hAnsi="Cambria"/>
                      <w:sz w:val="16"/>
                      <w:lang w:val="ru-RU"/>
                    </w:rPr>
                    <w:t>Прогноз (национальная валюта) (LC)</w:t>
                  </w:r>
                </w:p>
              </w:tc>
              <w:tc>
                <w:tcPr>
                  <w:tcW w:w="835" w:type="dxa"/>
                </w:tcPr>
                <w:p w:rsidR="00E70D0C" w:rsidRPr="00831A3B" w:rsidRDefault="004E4A51" w:rsidP="00E70D0C">
                  <w:pPr>
                    <w:rPr>
                      <w:rFonts w:ascii="Cambria" w:hAnsi="Cambria"/>
                      <w:b/>
                      <w:color w:val="FF9900"/>
                      <w:sz w:val="18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color w:val="FF9900"/>
                      <w:sz w:val="18"/>
                    </w:rPr>
                    <w:t>Stable</w:t>
                  </w:r>
                </w:p>
              </w:tc>
            </w:tr>
            <w:tr w:rsidR="00E70D0C" w:rsidRPr="00831A3B" w:rsidTr="00664CC3">
              <w:tc>
                <w:tcPr>
                  <w:tcW w:w="3153" w:type="dxa"/>
                </w:tcPr>
                <w:p w:rsidR="00E70D0C" w:rsidRPr="00831A3B" w:rsidRDefault="006E1027" w:rsidP="00664CC3">
                  <w:pPr>
                    <w:ind w:left="68"/>
                    <w:rPr>
                      <w:rFonts w:ascii="Cambria" w:hAnsi="Cambria"/>
                      <w:sz w:val="18"/>
                      <w:lang w:val="ru-RU"/>
                    </w:rPr>
                  </w:pPr>
                  <w:r w:rsidRPr="00493D02">
                    <w:rPr>
                      <w:rFonts w:ascii="Cambria" w:hAnsi="Cambria"/>
                      <w:sz w:val="16"/>
                      <w:lang w:val="ru-RU"/>
                    </w:rPr>
                    <w:t>Прогноз (иностранная валюта) (FC)</w:t>
                  </w:r>
                </w:p>
              </w:tc>
              <w:tc>
                <w:tcPr>
                  <w:tcW w:w="835" w:type="dxa"/>
                </w:tcPr>
                <w:p w:rsidR="00E70D0C" w:rsidRPr="00831A3B" w:rsidRDefault="004E4A51" w:rsidP="00E70D0C">
                  <w:pPr>
                    <w:rPr>
                      <w:rFonts w:ascii="Cambria" w:hAnsi="Cambria"/>
                      <w:b/>
                      <w:color w:val="FF9900"/>
                      <w:sz w:val="18"/>
                      <w:lang w:val="ru-RU"/>
                    </w:rPr>
                  </w:pPr>
                  <w:r>
                    <w:rPr>
                      <w:rFonts w:ascii="Cambria" w:hAnsi="Cambria"/>
                      <w:b/>
                      <w:color w:val="FF9900"/>
                      <w:sz w:val="18"/>
                    </w:rPr>
                    <w:t>Stable</w:t>
                  </w:r>
                </w:p>
              </w:tc>
            </w:tr>
          </w:tbl>
          <w:p w:rsidR="006E1027" w:rsidRPr="007467BA" w:rsidRDefault="00E70D0C" w:rsidP="006E1027">
            <w:pPr>
              <w:rPr>
                <w:rFonts w:ascii="Cambria" w:hAnsi="Cambria"/>
                <w:sz w:val="12"/>
                <w:szCs w:val="14"/>
                <w:lang w:val="ru-RU"/>
              </w:rPr>
            </w:pPr>
            <w:r w:rsidRPr="004E3B7F">
              <w:rPr>
                <w:rFonts w:ascii="Cambria" w:hAnsi="Cambria"/>
                <w:sz w:val="12"/>
                <w:szCs w:val="14"/>
                <w:lang w:val="ru-RU"/>
              </w:rPr>
              <w:t xml:space="preserve">* </w:t>
            </w:r>
            <w:r w:rsidR="006E1027" w:rsidRPr="007467BA">
              <w:rPr>
                <w:rFonts w:ascii="Cambria" w:hAnsi="Cambria"/>
                <w:sz w:val="12"/>
                <w:szCs w:val="14"/>
                <w:lang w:val="ru-RU"/>
              </w:rPr>
              <w:t>Эти рейтинги являются незапрашиваемыми</w:t>
            </w:r>
          </w:p>
          <w:p w:rsidR="00DB0FBE" w:rsidRPr="004E3B7F" w:rsidRDefault="00DB0FBE" w:rsidP="00E70D0C">
            <w:pPr>
              <w:rPr>
                <w:rFonts w:ascii="Cambria" w:hAnsi="Cambria"/>
                <w:sz w:val="12"/>
                <w:szCs w:val="14"/>
                <w:lang w:val="ru-RU"/>
              </w:rPr>
            </w:pPr>
          </w:p>
          <w:p w:rsidR="00E70D0C" w:rsidRPr="004E3B7F" w:rsidRDefault="004E3B7F" w:rsidP="00DB370B">
            <w:pPr>
              <w:pBdr>
                <w:bottom w:val="single" w:sz="6" w:space="1" w:color="auto"/>
              </w:pBdr>
              <w:rPr>
                <w:rFonts w:ascii="Cambria" w:hAnsi="Cambria"/>
                <w:b/>
                <w:sz w:val="18"/>
                <w:lang w:val="ru-RU"/>
              </w:rPr>
            </w:pPr>
            <w:r w:rsidRPr="004E3B7F">
              <w:rPr>
                <w:rFonts w:ascii="Cambria" w:hAnsi="Cambria"/>
                <w:b/>
                <w:sz w:val="18"/>
                <w:szCs w:val="18"/>
                <w:lang w:val="ru-RU"/>
              </w:rPr>
              <w:t>Динамика рейтингов</w:t>
            </w:r>
            <w:r w:rsidR="00DF067C">
              <w:rPr>
                <w:noProof/>
                <w:lang w:val="en-US"/>
              </w:rPr>
              <w:drawing>
                <wp:inline distT="0" distB="0" distL="0" distR="0" wp14:anchorId="6B9E5861" wp14:editId="048896B5">
                  <wp:extent cx="2520000" cy="1224000"/>
                  <wp:effectExtent l="0" t="0" r="13970" b="14605"/>
                  <wp:docPr id="22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040C65" w:rsidRPr="004E3B7F" w:rsidRDefault="004E3B7F" w:rsidP="00DB370B">
            <w:pPr>
              <w:pBdr>
                <w:bottom w:val="single" w:sz="6" w:space="1" w:color="auto"/>
              </w:pBdr>
              <w:rPr>
                <w:rFonts w:ascii="Cambria" w:hAnsi="Cambria"/>
                <w:b/>
                <w:sz w:val="18"/>
                <w:lang w:val="ru-RU"/>
              </w:rPr>
            </w:pPr>
            <w:r w:rsidRPr="004E3B7F">
              <w:rPr>
                <w:rFonts w:ascii="Cambria" w:hAnsi="Cambria"/>
                <w:b/>
                <w:sz w:val="18"/>
                <w:lang w:val="ru-RU"/>
              </w:rPr>
              <w:t xml:space="preserve">Основные макроэкономические индикаторы </w:t>
            </w:r>
            <w:r>
              <w:rPr>
                <w:rFonts w:ascii="Cambria" w:hAnsi="Cambria"/>
                <w:b/>
                <w:sz w:val="18"/>
                <w:lang w:val="ru-RU"/>
              </w:rPr>
              <w:t>Узбекистана</w:t>
            </w:r>
          </w:p>
          <w:p w:rsidR="00F45D09" w:rsidRPr="004E3B7F" w:rsidRDefault="00F45D09" w:rsidP="00D266DD">
            <w:pPr>
              <w:rPr>
                <w:sz w:val="6"/>
                <w:szCs w:val="6"/>
                <w:lang w:val="ru-RU"/>
              </w:rPr>
            </w:pPr>
          </w:p>
          <w:tbl>
            <w:tblPr>
              <w:tblW w:w="3998" w:type="dxa"/>
              <w:jc w:val="right"/>
              <w:tblLook w:val="04A0" w:firstRow="1" w:lastRow="0" w:firstColumn="1" w:lastColumn="0" w:noHBand="0" w:noVBand="1"/>
            </w:tblPr>
            <w:tblGrid>
              <w:gridCol w:w="1776"/>
              <w:gridCol w:w="95"/>
              <w:gridCol w:w="709"/>
              <w:gridCol w:w="709"/>
              <w:gridCol w:w="709"/>
            </w:tblGrid>
            <w:tr w:rsidR="007F48CB" w:rsidRPr="004E3B7F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F48CB" w:rsidRPr="004E3B7F" w:rsidRDefault="004E3B7F" w:rsidP="007F48CB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Макро индикаторы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48CB" w:rsidRPr="004E3B7F" w:rsidRDefault="007F48CB" w:rsidP="007F48CB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4E3B7F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48CB" w:rsidRPr="004E3B7F" w:rsidRDefault="007F48CB" w:rsidP="007F48CB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4E3B7F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48CB" w:rsidRPr="004E3B7F" w:rsidRDefault="007F48CB" w:rsidP="007F48CB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4E3B7F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2018</w:t>
                  </w:r>
                  <w:r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en-US"/>
                    </w:rPr>
                    <w:t>e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E3B7F" w:rsidRPr="00890674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Валовой гос. долг</w:t>
                  </w: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,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млрд</w:t>
                  </w: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сум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20999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61224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83255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Номинальный ВВП</w:t>
                  </w: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,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млрд. </w:t>
                  </w:r>
                  <w:proofErr w:type="spellStart"/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сум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199993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254043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338436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Рост реального ВВП, 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2B0C8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2B0C8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6,2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2B0C8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2B0C8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4,5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2B0C8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2B0C8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5,1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Валовой гос. долг</w:t>
                  </w: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/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ВВП</w:t>
                  </w:r>
                  <w:r w:rsidRPr="00BC1727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, 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47588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highlight w:val="yellow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10,5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24,1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184EC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184ECD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24,6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Дефицит*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профицит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)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 бюджета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/ВВП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,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 xml:space="preserve"> 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-0,6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-2,1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-2,5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Уровень инфляции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,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 xml:space="preserve"> 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9,8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18,8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14,3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  <w:hideMark/>
                </w:tcPr>
                <w:p w:rsidR="004E3B7F" w:rsidRPr="007E6389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Баланс текущего счета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/ВВП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,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 xml:space="preserve"> </w:t>
                  </w:r>
                  <w:r w:rsidRPr="007E6389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47588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highlight w:val="yellow"/>
                      <w:lang w:val="en-US"/>
                    </w:rPr>
                  </w:pPr>
                  <w:r w:rsidRPr="00A72CB5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-8,3</w:t>
                  </w:r>
                </w:p>
              </w:tc>
            </w:tr>
            <w:tr w:rsidR="004E3B7F" w:rsidRPr="007E6389" w:rsidTr="004E3B7F">
              <w:trPr>
                <w:trHeight w:val="300"/>
                <w:jc w:val="right"/>
              </w:trPr>
              <w:tc>
                <w:tcPr>
                  <w:tcW w:w="1871" w:type="dxa"/>
                  <w:gridSpan w:val="2"/>
                  <w:shd w:val="clear" w:color="auto" w:fill="auto"/>
                  <w:vAlign w:val="bottom"/>
                </w:tcPr>
                <w:p w:rsidR="004E3B7F" w:rsidRPr="00890674" w:rsidRDefault="004E3B7F" w:rsidP="004E3B7F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Внешний долг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,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млрд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.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долл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.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США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8307FB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8307FB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4E3B7F" w:rsidRPr="0047588D" w:rsidRDefault="004E3B7F" w:rsidP="004E3B7F">
                  <w:pPr>
                    <w:spacing w:after="0" w:line="240" w:lineRule="auto"/>
                    <w:ind w:left="-89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highlight w:val="yellow"/>
                      <w:lang w:val="en-US"/>
                    </w:rPr>
                  </w:pPr>
                  <w:r w:rsidRPr="00A72CB5"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  <w:t>17,8</w:t>
                  </w:r>
                </w:p>
              </w:tc>
            </w:tr>
            <w:tr w:rsidR="0032795E" w:rsidRPr="007E6389" w:rsidTr="004E3B7F">
              <w:trPr>
                <w:gridAfter w:val="1"/>
                <w:wAfter w:w="709" w:type="dxa"/>
                <w:trHeight w:val="270"/>
                <w:jc w:val="right"/>
              </w:trPr>
              <w:tc>
                <w:tcPr>
                  <w:tcW w:w="258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795E" w:rsidRPr="007E6389" w:rsidRDefault="004E3B7F" w:rsidP="0032795E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Индикаторы</w:t>
                  </w:r>
                  <w:r w:rsidRPr="00BC1727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развития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795E" w:rsidRPr="007E6389" w:rsidRDefault="007F48CB" w:rsidP="00E22DFE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en-US"/>
                    </w:rPr>
                    <w:t>2018</w:t>
                  </w:r>
                  <w:r w:rsidR="00A72CB5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en-US"/>
                    </w:rPr>
                    <w:t>e</w:t>
                  </w:r>
                </w:p>
              </w:tc>
            </w:tr>
            <w:tr w:rsidR="0032795E" w:rsidRPr="007E6389" w:rsidTr="004E3B7F">
              <w:trPr>
                <w:gridAfter w:val="1"/>
                <w:wAfter w:w="709" w:type="dxa"/>
                <w:trHeight w:val="255"/>
                <w:jc w:val="right"/>
              </w:trPr>
              <w:tc>
                <w:tcPr>
                  <w:tcW w:w="2580" w:type="dxa"/>
                  <w:gridSpan w:val="3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795E" w:rsidRPr="007E6389" w:rsidRDefault="004E3B7F" w:rsidP="00A72CB5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en-US"/>
                    </w:rPr>
                  </w:pP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ИРЧП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2795E" w:rsidRPr="007E6389" w:rsidRDefault="007F48CB" w:rsidP="007F48CB">
                  <w:pPr>
                    <w:spacing w:after="0"/>
                    <w:jc w:val="right"/>
                    <w:rPr>
                      <w:rFonts w:ascii="Cambria" w:hAnsi="Cambria" w:cs="Arial"/>
                      <w:sz w:val="14"/>
                      <w:szCs w:val="14"/>
                    </w:rPr>
                  </w:pPr>
                  <w:r w:rsidRPr="00A72CB5">
                    <w:rPr>
                      <w:rFonts w:ascii="Cambria" w:hAnsi="Cambria" w:cs="Arial"/>
                      <w:sz w:val="14"/>
                      <w:szCs w:val="14"/>
                    </w:rPr>
                    <w:t>0,71*</w:t>
                  </w:r>
                  <w:r w:rsidR="00A72CB5" w:rsidRPr="00A72CB5">
                    <w:rPr>
                      <w:rFonts w:ascii="Cambria" w:hAnsi="Cambria"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32795E" w:rsidRPr="00831A3B" w:rsidTr="004E3B7F">
              <w:trPr>
                <w:gridAfter w:val="1"/>
                <w:wAfter w:w="709" w:type="dxa"/>
                <w:trHeight w:val="255"/>
                <w:jc w:val="right"/>
              </w:trPr>
              <w:tc>
                <w:tcPr>
                  <w:tcW w:w="2580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32795E" w:rsidRPr="00831A3B" w:rsidRDefault="004E3B7F" w:rsidP="004E0BE3">
                  <w:pPr>
                    <w:spacing w:after="0" w:line="240" w:lineRule="auto"/>
                    <w:ind w:left="-89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ВВП на душу насел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ения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,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тыс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.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долл</w:t>
                  </w:r>
                  <w:r w:rsidRPr="00052E03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 xml:space="preserve">. </w:t>
                  </w: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США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32795E" w:rsidRPr="00831A3B" w:rsidRDefault="00501B27" w:rsidP="00184ECD">
                  <w:pPr>
                    <w:spacing w:after="0"/>
                    <w:jc w:val="right"/>
                    <w:rPr>
                      <w:rFonts w:ascii="Cambria" w:hAnsi="Cambria" w:cs="Arial"/>
                      <w:sz w:val="14"/>
                      <w:szCs w:val="14"/>
                      <w:lang w:val="ru-RU"/>
                    </w:rPr>
                  </w:pPr>
                  <w:r w:rsidRPr="00831A3B">
                    <w:rPr>
                      <w:rFonts w:ascii="Cambria" w:hAnsi="Cambria" w:cs="Arial"/>
                      <w:sz w:val="14"/>
                      <w:szCs w:val="14"/>
                      <w:lang w:val="ru-RU"/>
                    </w:rPr>
                    <w:t>7,</w:t>
                  </w:r>
                  <w:r w:rsidR="00184ECD" w:rsidRPr="00831A3B">
                    <w:rPr>
                      <w:rFonts w:ascii="Cambria" w:hAnsi="Cambria" w:cs="Arial"/>
                      <w:sz w:val="14"/>
                      <w:szCs w:val="14"/>
                      <w:lang w:val="ru-RU"/>
                    </w:rPr>
                    <w:t>3</w:t>
                  </w:r>
                </w:p>
              </w:tc>
            </w:tr>
            <w:tr w:rsidR="0032795E" w:rsidRPr="00831A3B" w:rsidTr="004E3B7F">
              <w:tblPrEx>
                <w:jc w:val="left"/>
              </w:tblPrEx>
              <w:trPr>
                <w:gridAfter w:val="1"/>
                <w:wAfter w:w="709" w:type="dxa"/>
                <w:trHeight w:val="270"/>
              </w:trPr>
              <w:tc>
                <w:tcPr>
                  <w:tcW w:w="1776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795E" w:rsidRPr="00831A3B" w:rsidRDefault="004E3B7F" w:rsidP="0032795E">
                  <w:pPr>
                    <w:spacing w:after="0" w:line="240" w:lineRule="auto"/>
                    <w:ind w:left="-84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831A3B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Индикаторы дефолта</w:t>
                  </w:r>
                </w:p>
              </w:tc>
              <w:tc>
                <w:tcPr>
                  <w:tcW w:w="1513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795E" w:rsidRPr="00831A3B" w:rsidRDefault="00A02C47" w:rsidP="007F48CB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831A3B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0</w:t>
                  </w:r>
                  <w:r w:rsidR="007F48CB" w:rsidRPr="00831A3B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8</w:t>
                  </w:r>
                  <w:r w:rsidR="00E22DFE" w:rsidRPr="00831A3B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.</w:t>
                  </w:r>
                  <w:r w:rsidR="007F48CB" w:rsidRPr="00831A3B">
                    <w:rPr>
                      <w:rFonts w:ascii="Cambria" w:eastAsia="Times New Roman" w:hAnsi="Cambria" w:cs="Arial"/>
                      <w:b/>
                      <w:bCs/>
                      <w:sz w:val="14"/>
                      <w:szCs w:val="14"/>
                      <w:lang w:val="ru-RU"/>
                    </w:rPr>
                    <w:t>03.2019</w:t>
                  </w:r>
                </w:p>
              </w:tc>
            </w:tr>
            <w:tr w:rsidR="0032795E" w:rsidRPr="00831A3B" w:rsidTr="004E3B7F">
              <w:tblPrEx>
                <w:jc w:val="left"/>
              </w:tblPrEx>
              <w:trPr>
                <w:gridAfter w:val="1"/>
                <w:wAfter w:w="709" w:type="dxa"/>
                <w:trHeight w:val="255"/>
              </w:trPr>
              <w:tc>
                <w:tcPr>
                  <w:tcW w:w="1776" w:type="dxa"/>
                  <w:shd w:val="clear" w:color="auto" w:fill="auto"/>
                  <w:noWrap/>
                  <w:vAlign w:val="bottom"/>
                  <w:hideMark/>
                </w:tcPr>
                <w:p w:rsidR="0032795E" w:rsidRPr="00831A3B" w:rsidRDefault="004E3B7F" w:rsidP="0032795E">
                  <w:pPr>
                    <w:spacing w:after="0" w:line="240" w:lineRule="auto"/>
                    <w:ind w:left="-84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Доходность 10-летних гос. облигаций</w:t>
                  </w:r>
                  <w:r w:rsidRPr="00D53C8F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, %</w:t>
                  </w:r>
                </w:p>
              </w:tc>
              <w:tc>
                <w:tcPr>
                  <w:tcW w:w="1513" w:type="dxa"/>
                  <w:gridSpan w:val="3"/>
                  <w:shd w:val="clear" w:color="auto" w:fill="auto"/>
                  <w:noWrap/>
                  <w:vAlign w:val="bottom"/>
                </w:tcPr>
                <w:p w:rsidR="0032795E" w:rsidRPr="00831A3B" w:rsidRDefault="00501B27" w:rsidP="00E22DFE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</w:pPr>
                  <w:r w:rsidRPr="00831A3B">
                    <w:rPr>
                      <w:rFonts w:ascii="Cambria" w:eastAsia="Times New Roman" w:hAnsi="Cambria" w:cs="Arial"/>
                      <w:sz w:val="14"/>
                      <w:szCs w:val="14"/>
                      <w:lang w:val="ru-RU"/>
                    </w:rPr>
                    <w:t>5,4</w:t>
                  </w:r>
                </w:p>
              </w:tc>
            </w:tr>
          </w:tbl>
          <w:p w:rsidR="00617DCA" w:rsidRPr="00831A3B" w:rsidRDefault="00617DCA" w:rsidP="00040C65">
            <w:pPr>
              <w:pBdr>
                <w:bottom w:val="single" w:sz="6" w:space="1" w:color="auto"/>
              </w:pBdr>
              <w:rPr>
                <w:rFonts w:ascii="Cambria" w:hAnsi="Cambria"/>
                <w:b/>
                <w:sz w:val="6"/>
                <w:szCs w:val="6"/>
                <w:lang w:val="ru-RU"/>
              </w:rPr>
            </w:pPr>
          </w:p>
          <w:p w:rsidR="00F45D09" w:rsidRPr="00831A3B" w:rsidRDefault="004E3B7F" w:rsidP="00040C65">
            <w:pPr>
              <w:pBdr>
                <w:bottom w:val="single" w:sz="6" w:space="1" w:color="auto"/>
              </w:pBdr>
              <w:rPr>
                <w:rFonts w:ascii="Cambria" w:hAnsi="Cambria"/>
                <w:sz w:val="12"/>
                <w:szCs w:val="18"/>
                <w:lang w:val="ru-RU"/>
              </w:rPr>
            </w:pP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Источник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: </w:t>
            </w: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расчеты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 </w:t>
            </w:r>
            <w:r w:rsidRPr="00D53C8F">
              <w:rPr>
                <w:rFonts w:ascii="Cambria" w:hAnsi="Cambria"/>
                <w:sz w:val="12"/>
                <w:szCs w:val="18"/>
              </w:rPr>
              <w:t>RAEX</w:t>
            </w:r>
            <w:r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>
              <w:rPr>
                <w:rFonts w:ascii="Cambria" w:hAnsi="Cambria"/>
                <w:sz w:val="12"/>
                <w:szCs w:val="18"/>
                <w:lang w:val="en-US"/>
              </w:rPr>
              <w:t>Europe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 </w:t>
            </w: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на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 </w:t>
            </w: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основе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 </w:t>
            </w: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данных</w:t>
            </w:r>
            <w:r w:rsidRPr="009F4687">
              <w:rPr>
                <w:rFonts w:ascii="Cambria" w:hAnsi="Cambria"/>
                <w:sz w:val="12"/>
                <w:szCs w:val="18"/>
                <w:lang w:val="ru-RU"/>
              </w:rPr>
              <w:t xml:space="preserve"> </w:t>
            </w:r>
            <w:r w:rsidRPr="00D53C8F">
              <w:rPr>
                <w:rFonts w:ascii="Cambria" w:hAnsi="Cambria"/>
                <w:sz w:val="12"/>
                <w:szCs w:val="18"/>
                <w:lang w:val="ru-RU"/>
              </w:rPr>
              <w:t>МВФ</w:t>
            </w:r>
            <w:r w:rsidRPr="009F4687">
              <w:rPr>
                <w:rFonts w:ascii="Cambria" w:hAnsi="Cambria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>Всемирного Банка</w:t>
            </w:r>
            <w:r w:rsidRPr="009F4687">
              <w:rPr>
                <w:rFonts w:ascii="Cambria" w:hAnsi="Cambria"/>
                <w:sz w:val="12"/>
                <w:szCs w:val="12"/>
                <w:lang w:val="ru-RU"/>
              </w:rPr>
              <w:t>,</w:t>
            </w:r>
            <w:r w:rsidR="008307FB" w:rsidRPr="004E3B7F">
              <w:rPr>
                <w:rFonts w:ascii="Cambria" w:hAnsi="Cambria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>ЦБУ</w:t>
            </w:r>
            <w:r w:rsidR="008307FB" w:rsidRPr="004E3B7F">
              <w:rPr>
                <w:rFonts w:ascii="Cambria" w:hAnsi="Cambria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>ГКРУС</w:t>
            </w:r>
            <w:r w:rsidR="008307FB" w:rsidRPr="004E3B7F">
              <w:rPr>
                <w:rFonts w:ascii="Cambria" w:hAnsi="Cambria"/>
                <w:sz w:val="12"/>
                <w:szCs w:val="12"/>
                <w:lang w:val="ru-RU"/>
              </w:rPr>
              <w:t>. *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>Совокупный баланс</w:t>
            </w:r>
            <w:r w:rsidR="008307FB" w:rsidRPr="004E3B7F">
              <w:rPr>
                <w:rFonts w:ascii="Cambria" w:hAnsi="Cambria"/>
                <w:sz w:val="12"/>
                <w:szCs w:val="12"/>
                <w:lang w:val="ru-RU"/>
              </w:rPr>
              <w:t xml:space="preserve">. </w:t>
            </w:r>
            <w:r w:rsidR="00A72CB5" w:rsidRPr="00831A3B">
              <w:rPr>
                <w:rFonts w:ascii="Cambria" w:hAnsi="Cambria"/>
                <w:sz w:val="12"/>
                <w:szCs w:val="12"/>
                <w:lang w:val="ru-RU"/>
              </w:rPr>
              <w:t>**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 xml:space="preserve">Информация на </w:t>
            </w:r>
            <w:r w:rsidR="00A72CB5" w:rsidRPr="00831A3B">
              <w:rPr>
                <w:rFonts w:ascii="Cambria" w:hAnsi="Cambria"/>
                <w:sz w:val="12"/>
                <w:szCs w:val="12"/>
                <w:lang w:val="ru-RU"/>
              </w:rPr>
              <w:t xml:space="preserve">2017 </w:t>
            </w:r>
            <w:r>
              <w:rPr>
                <w:rFonts w:ascii="Cambria" w:hAnsi="Cambria"/>
                <w:sz w:val="12"/>
                <w:szCs w:val="12"/>
                <w:lang w:val="ru-RU"/>
              </w:rPr>
              <w:t>год</w:t>
            </w:r>
            <w:r w:rsidR="00A72CB5" w:rsidRPr="00831A3B">
              <w:rPr>
                <w:rFonts w:ascii="Cambria" w:hAnsi="Cambria"/>
                <w:sz w:val="12"/>
                <w:szCs w:val="12"/>
                <w:lang w:val="ru-RU"/>
              </w:rPr>
              <w:t>.</w:t>
            </w:r>
          </w:p>
          <w:p w:rsidR="001D06CB" w:rsidRPr="00831A3B" w:rsidRDefault="001D06CB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1D06CB" w:rsidRPr="00831A3B" w:rsidRDefault="001D06CB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1D06CB" w:rsidRPr="00831A3B" w:rsidRDefault="001D06CB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1D06CB" w:rsidRDefault="001D06CB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E97973" w:rsidRDefault="00E97973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E97973" w:rsidRDefault="00E97973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E97973" w:rsidRPr="00831A3B" w:rsidRDefault="00E97973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b/>
                <w:sz w:val="18"/>
                <w:szCs w:val="18"/>
                <w:lang w:val="ru-RU"/>
              </w:rPr>
            </w:pPr>
          </w:p>
          <w:p w:rsidR="005D3DB5" w:rsidRPr="005B2854" w:rsidRDefault="004E3B7F" w:rsidP="00757ED4">
            <w:pPr>
              <w:pBdr>
                <w:bottom w:val="single" w:sz="6" w:space="1" w:color="auto"/>
              </w:pBdr>
              <w:spacing w:before="120" w:after="120"/>
              <w:rPr>
                <w:rFonts w:ascii="Cambria" w:hAnsi="Cambria"/>
                <w:sz w:val="18"/>
                <w:szCs w:val="18"/>
                <w:lang w:val="ru-RU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B50B18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1</w:t>
            </w:r>
            <w:r w:rsidR="00040C65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:</w:t>
            </w:r>
            <w:r w:rsidR="00040C65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>Макроэкономические индикаторы</w:t>
            </w:r>
            <w:r w:rsidR="00B50B18" w:rsidRPr="005B2854">
              <w:rPr>
                <w:rFonts w:ascii="Cambria" w:hAnsi="Cambria"/>
                <w:sz w:val="18"/>
                <w:szCs w:val="18"/>
                <w:lang w:val="ru-RU"/>
              </w:rPr>
              <w:t>, %</w:t>
            </w:r>
          </w:p>
          <w:p w:rsidR="00911161" w:rsidRPr="005B2854" w:rsidRDefault="00831A3B" w:rsidP="007E6389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1E2ED7FB" wp14:editId="424B331F">
                  <wp:extent cx="2511341" cy="2160000"/>
                  <wp:effectExtent l="0" t="0" r="3810" b="12065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="004E3B7F" w:rsidRPr="005B2854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A75E1D"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5B2854">
              <w:rPr>
                <w:rFonts w:ascii="Cambria" w:hAnsi="Cambria"/>
                <w:sz w:val="12"/>
                <w:szCs w:val="18"/>
              </w:rPr>
              <w:t>RAEX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5B2854">
              <w:rPr>
                <w:rFonts w:ascii="Cambria" w:hAnsi="Cambria"/>
                <w:sz w:val="12"/>
                <w:szCs w:val="18"/>
              </w:rPr>
              <w:t>Europe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МВФ и ВБ</w:t>
            </w:r>
          </w:p>
          <w:p w:rsidR="00B50B18" w:rsidRPr="00BB1F0D" w:rsidRDefault="00B50B18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E97973" w:rsidRDefault="00E97973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E97973" w:rsidRPr="00BB1F0D" w:rsidRDefault="00E97973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B50B18" w:rsidRPr="005B2854" w:rsidRDefault="004E3B7F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B50B18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2:</w:t>
            </w:r>
            <w:r w:rsidR="00B50B18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Динамика государственного долга и баланса бюджета, % ВВП </w:t>
            </w:r>
          </w:p>
          <w:p w:rsidR="00B50B18" w:rsidRPr="005B2854" w:rsidRDefault="00831A3B" w:rsidP="00B50B18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48616C46" wp14:editId="6482273E">
                  <wp:extent cx="2519267" cy="2160000"/>
                  <wp:effectExtent l="0" t="0" r="14605" b="1206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Источник: </w:t>
            </w:r>
            <w:r w:rsidRPr="005B2854">
              <w:rPr>
                <w:rFonts w:ascii="Cambria" w:hAnsi="Cambria"/>
                <w:sz w:val="12"/>
                <w:szCs w:val="12"/>
                <w:lang w:val="ru-RU"/>
              </w:rPr>
              <w:t>RAEX-</w:t>
            </w:r>
            <w:proofErr w:type="spellStart"/>
            <w:r w:rsidRPr="005B2854">
              <w:rPr>
                <w:rFonts w:ascii="Cambria" w:hAnsi="Cambria"/>
                <w:sz w:val="12"/>
                <w:szCs w:val="12"/>
                <w:lang w:val="ru-RU"/>
              </w:rPr>
              <w:t>Europe</w:t>
            </w:r>
            <w:proofErr w:type="spellEnd"/>
            <w:r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 на основе данных МВФ и ВБ</w:t>
            </w: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501B27" w:rsidRPr="00BB1F0D" w:rsidRDefault="00501B27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501B27" w:rsidRDefault="00501B27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E97973" w:rsidRPr="00BB1F0D" w:rsidRDefault="00E97973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501B27" w:rsidRPr="00BB1F0D" w:rsidRDefault="00501B27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b/>
                <w:sz w:val="18"/>
                <w:szCs w:val="18"/>
                <w:highlight w:val="red"/>
                <w:lang w:val="ru-RU"/>
              </w:rPr>
            </w:pPr>
          </w:p>
          <w:p w:rsidR="00B50B18" w:rsidRPr="005B2854" w:rsidRDefault="004E3B7F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График</w:t>
            </w:r>
            <w:r w:rsidRPr="005B2854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 w:rsidR="00B50B18" w:rsidRPr="005B2854">
              <w:rPr>
                <w:rFonts w:ascii="Cambria" w:hAnsi="Cambria"/>
                <w:b/>
                <w:sz w:val="18"/>
                <w:szCs w:val="18"/>
              </w:rPr>
              <w:t>3:</w:t>
            </w:r>
            <w:r w:rsidR="00B50B18" w:rsidRPr="005B285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>Показатели</w:t>
            </w:r>
            <w:proofErr w:type="spellEnd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>финансовой</w:t>
            </w:r>
            <w:proofErr w:type="spellEnd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>устойчивости</w:t>
            </w:r>
            <w:proofErr w:type="spellEnd"/>
            <w:r w:rsidR="00831A3B" w:rsidRPr="005B2854">
              <w:rPr>
                <w:rFonts w:ascii="Cambria" w:hAnsi="Cambria"/>
                <w:sz w:val="18"/>
                <w:szCs w:val="18"/>
                <w:lang w:val="en-US"/>
              </w:rPr>
              <w:t>, %</w:t>
            </w:r>
          </w:p>
          <w:p w:rsidR="00B50B18" w:rsidRPr="005B2854" w:rsidRDefault="00831A3B" w:rsidP="007E6389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605E2C3D" wp14:editId="575ED7FD">
                  <wp:extent cx="2527809" cy="2160000"/>
                  <wp:effectExtent l="0" t="0" r="6350" b="12065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 w:rsidR="004E3B7F" w:rsidRPr="005B2854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B50B18"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5B2854">
              <w:rPr>
                <w:rFonts w:ascii="Cambria" w:hAnsi="Cambria"/>
                <w:sz w:val="12"/>
                <w:szCs w:val="18"/>
              </w:rPr>
              <w:t>RAEX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5B2854">
              <w:rPr>
                <w:rFonts w:ascii="Cambria" w:hAnsi="Cambria"/>
                <w:sz w:val="12"/>
                <w:szCs w:val="18"/>
              </w:rPr>
              <w:t>Europe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ЦБУ</w:t>
            </w:r>
          </w:p>
          <w:p w:rsidR="00E97973" w:rsidRDefault="00E97973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E97973" w:rsidRDefault="00E97973" w:rsidP="007E6389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B50B18" w:rsidRPr="005B2854" w:rsidRDefault="004E3B7F" w:rsidP="00B50B18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B50B18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4:</w:t>
            </w:r>
            <w:r w:rsidR="00B50B18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>Ставка рефинансирования и инфляция, %</w:t>
            </w:r>
          </w:p>
          <w:p w:rsidR="00B50B18" w:rsidRPr="005B2854" w:rsidRDefault="00831A3B" w:rsidP="00B50B18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3163DE52" wp14:editId="78B5C9AC">
                  <wp:extent cx="2520000" cy="2160000"/>
                  <wp:effectExtent l="0" t="0" r="13970" b="12065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r w:rsidR="004E3B7F" w:rsidRPr="005B2854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B50B18"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5B2854">
              <w:rPr>
                <w:rFonts w:ascii="Cambria" w:hAnsi="Cambria"/>
                <w:sz w:val="12"/>
                <w:szCs w:val="18"/>
              </w:rPr>
              <w:t>RAEX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5B2854">
              <w:rPr>
                <w:rFonts w:ascii="Cambria" w:hAnsi="Cambria"/>
                <w:sz w:val="12"/>
                <w:szCs w:val="18"/>
              </w:rPr>
              <w:t>Europe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ЦБУ</w:t>
            </w:r>
          </w:p>
          <w:p w:rsidR="006559D7" w:rsidRPr="00BB1F0D" w:rsidRDefault="006559D7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2B0C8B" w:rsidRPr="00BB1F0D" w:rsidRDefault="002B0C8B" w:rsidP="00B50B18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6559D7" w:rsidRPr="005B2854" w:rsidRDefault="004E3B7F" w:rsidP="006559D7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6559D7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5:</w:t>
            </w:r>
            <w:r w:rsidR="006559D7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>Международные резервы и курс национальной валюты</w:t>
            </w:r>
          </w:p>
          <w:p w:rsidR="006559D7" w:rsidRPr="005B2854" w:rsidRDefault="00831A3B" w:rsidP="006559D7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2864C14B" wp14:editId="5D579444">
                  <wp:extent cx="2518056" cy="2117234"/>
                  <wp:effectExtent l="0" t="0" r="15875" b="1651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r w:rsidR="004E3B7F" w:rsidRPr="005B2854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6559D7"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5B2854">
              <w:rPr>
                <w:rFonts w:ascii="Cambria" w:hAnsi="Cambria"/>
                <w:sz w:val="12"/>
                <w:szCs w:val="18"/>
              </w:rPr>
              <w:t>RAEX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5B2854">
              <w:rPr>
                <w:rFonts w:ascii="Cambria" w:hAnsi="Cambria"/>
                <w:sz w:val="12"/>
                <w:szCs w:val="18"/>
              </w:rPr>
              <w:t>Europe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ЦБУ</w:t>
            </w:r>
          </w:p>
          <w:p w:rsidR="006559D7" w:rsidRPr="00BB1F0D" w:rsidRDefault="006559D7" w:rsidP="006559D7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1D06CB" w:rsidRPr="00BB1F0D" w:rsidRDefault="001D06CB" w:rsidP="006559D7">
            <w:pPr>
              <w:spacing w:before="120" w:after="120"/>
              <w:rPr>
                <w:rFonts w:ascii="Cambria" w:hAnsi="Cambria"/>
                <w:sz w:val="12"/>
                <w:szCs w:val="12"/>
                <w:highlight w:val="red"/>
                <w:lang w:val="ru-RU"/>
              </w:rPr>
            </w:pPr>
          </w:p>
          <w:p w:rsidR="006559D7" w:rsidRPr="005B2854" w:rsidRDefault="004E3B7F" w:rsidP="006559D7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  <w:r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6559D7" w:rsidRPr="005B2854">
              <w:rPr>
                <w:rFonts w:ascii="Cambria" w:hAnsi="Cambria"/>
                <w:b/>
                <w:sz w:val="18"/>
                <w:szCs w:val="18"/>
                <w:lang w:val="ru-RU"/>
              </w:rPr>
              <w:t>6:</w:t>
            </w:r>
            <w:r w:rsidR="006559D7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 xml:space="preserve">Финансовая </w:t>
            </w:r>
            <w:proofErr w:type="spellStart"/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>долларизация</w:t>
            </w:r>
            <w:proofErr w:type="spellEnd"/>
            <w:r w:rsidR="00831A3B" w:rsidRPr="005B2854">
              <w:rPr>
                <w:rFonts w:ascii="Cambria" w:hAnsi="Cambria"/>
                <w:sz w:val="18"/>
                <w:szCs w:val="18"/>
                <w:lang w:val="ru-RU"/>
              </w:rPr>
              <w:t>, %</w:t>
            </w:r>
          </w:p>
          <w:p w:rsidR="006559D7" w:rsidRPr="005B2854" w:rsidRDefault="00831A3B" w:rsidP="006559D7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5B2854">
              <w:rPr>
                <w:noProof/>
                <w:lang w:val="en-US"/>
              </w:rPr>
              <w:drawing>
                <wp:inline distT="0" distB="0" distL="0" distR="0" wp14:anchorId="3AD6B6E5" wp14:editId="2A975DB1">
                  <wp:extent cx="2520000" cy="2160000"/>
                  <wp:effectExtent l="0" t="0" r="13970" b="12065"/>
                  <wp:docPr id="15" name="Chart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r w:rsidR="004E3B7F" w:rsidRPr="005B2854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6559D7" w:rsidRPr="005B2854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5B2854">
              <w:rPr>
                <w:rFonts w:ascii="Cambria" w:hAnsi="Cambria"/>
                <w:sz w:val="12"/>
                <w:szCs w:val="18"/>
              </w:rPr>
              <w:t>RAEX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5B2854">
              <w:rPr>
                <w:rFonts w:ascii="Cambria" w:hAnsi="Cambria"/>
                <w:sz w:val="12"/>
                <w:szCs w:val="18"/>
              </w:rPr>
              <w:t>Europe</w:t>
            </w:r>
            <w:r w:rsidRPr="005B2854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ЦБУ</w:t>
            </w:r>
          </w:p>
          <w:p w:rsidR="006559D7" w:rsidRPr="00BB1F0D" w:rsidRDefault="006559D7" w:rsidP="006559D7">
            <w:pPr>
              <w:spacing w:before="120" w:after="120"/>
              <w:rPr>
                <w:rFonts w:ascii="Cambria" w:hAnsi="Cambria"/>
                <w:noProof/>
                <w:sz w:val="18"/>
                <w:szCs w:val="18"/>
                <w:highlight w:val="red"/>
                <w:lang w:val="ru-RU" w:eastAsia="en-GB"/>
              </w:rPr>
            </w:pPr>
          </w:p>
          <w:p w:rsidR="00E97973" w:rsidRPr="00BB1F0D" w:rsidRDefault="00E97973" w:rsidP="007E6389">
            <w:pPr>
              <w:spacing w:before="120" w:after="120"/>
              <w:rPr>
                <w:rFonts w:ascii="Cambria" w:hAnsi="Cambria"/>
                <w:noProof/>
                <w:sz w:val="18"/>
                <w:szCs w:val="18"/>
                <w:highlight w:val="red"/>
                <w:lang w:val="ru-RU" w:eastAsia="en-GB"/>
              </w:rPr>
            </w:pPr>
            <w:bookmarkStart w:id="0" w:name="_GoBack"/>
            <w:bookmarkEnd w:id="0"/>
          </w:p>
          <w:p w:rsidR="00501B27" w:rsidRPr="00A96D69" w:rsidRDefault="004E3B7F" w:rsidP="00501B27">
            <w:pPr>
              <w:pBdr>
                <w:bottom w:val="single" w:sz="6" w:space="1" w:color="auto"/>
              </w:pBdr>
              <w:spacing w:before="120" w:after="120"/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  <w:r w:rsidRPr="00A96D69">
              <w:rPr>
                <w:rFonts w:ascii="Cambria" w:hAnsi="Cambria"/>
                <w:b/>
                <w:sz w:val="18"/>
                <w:szCs w:val="18"/>
                <w:lang w:val="ru-RU"/>
              </w:rPr>
              <w:t xml:space="preserve">График </w:t>
            </w:r>
            <w:r w:rsidR="00501B27" w:rsidRPr="00A96D69">
              <w:rPr>
                <w:rFonts w:ascii="Cambria" w:hAnsi="Cambria"/>
                <w:b/>
                <w:sz w:val="18"/>
                <w:szCs w:val="18"/>
                <w:lang w:val="ru-RU"/>
              </w:rPr>
              <w:t>7:</w:t>
            </w:r>
            <w:r w:rsidR="00501B27" w:rsidRPr="00A96D69">
              <w:rPr>
                <w:rFonts w:ascii="Cambria" w:hAnsi="Cambria"/>
                <w:sz w:val="18"/>
                <w:szCs w:val="18"/>
                <w:lang w:val="ru-RU"/>
              </w:rPr>
              <w:t xml:space="preserve"> </w:t>
            </w:r>
            <w:r w:rsidR="00831A3B" w:rsidRPr="00A96D69">
              <w:rPr>
                <w:rFonts w:ascii="Cambria" w:hAnsi="Cambria"/>
                <w:sz w:val="18"/>
                <w:szCs w:val="18"/>
                <w:lang w:val="ru-RU"/>
              </w:rPr>
              <w:t>Показатели внешнего сектора, % ВВП</w:t>
            </w:r>
          </w:p>
          <w:p w:rsidR="00501B27" w:rsidRPr="00185F1A" w:rsidRDefault="00185F1A" w:rsidP="00501B27">
            <w:pPr>
              <w:spacing w:before="120" w:after="120"/>
              <w:rPr>
                <w:rFonts w:ascii="Cambria" w:hAnsi="Cambria"/>
                <w:sz w:val="12"/>
                <w:szCs w:val="12"/>
                <w:lang w:val="ru-RU"/>
              </w:rPr>
            </w:pPr>
            <w:r w:rsidRPr="00A96D69">
              <w:rPr>
                <w:noProof/>
                <w:lang w:val="en-US"/>
              </w:rPr>
              <w:drawing>
                <wp:inline distT="0" distB="0" distL="0" distR="0" wp14:anchorId="4683471B" wp14:editId="585520F6">
                  <wp:extent cx="2520000" cy="2160000"/>
                  <wp:effectExtent l="0" t="0" r="13970" b="12065"/>
                  <wp:docPr id="17" name="Chart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 w:rsidR="004E3B7F" w:rsidRPr="00A96D69">
              <w:rPr>
                <w:rFonts w:ascii="Cambria" w:hAnsi="Cambria"/>
                <w:sz w:val="12"/>
                <w:szCs w:val="12"/>
                <w:lang w:val="ru-RU"/>
              </w:rPr>
              <w:t>Источник</w:t>
            </w:r>
            <w:r w:rsidR="00501B27" w:rsidRPr="00A96D69">
              <w:rPr>
                <w:rFonts w:ascii="Cambria" w:hAnsi="Cambria"/>
                <w:sz w:val="12"/>
                <w:szCs w:val="12"/>
                <w:lang w:val="ru-RU"/>
              </w:rPr>
              <w:t xml:space="preserve">: </w:t>
            </w:r>
            <w:r w:rsidRPr="00A96D69">
              <w:rPr>
                <w:rFonts w:ascii="Cambria" w:hAnsi="Cambria"/>
                <w:sz w:val="12"/>
                <w:szCs w:val="18"/>
              </w:rPr>
              <w:t>RAEX</w:t>
            </w:r>
            <w:r w:rsidRPr="00A96D69">
              <w:rPr>
                <w:rFonts w:ascii="Cambria" w:hAnsi="Cambria"/>
                <w:sz w:val="12"/>
                <w:szCs w:val="18"/>
                <w:lang w:val="ru-RU"/>
              </w:rPr>
              <w:t>-</w:t>
            </w:r>
            <w:r w:rsidRPr="00A96D69">
              <w:rPr>
                <w:rFonts w:ascii="Cambria" w:hAnsi="Cambria"/>
                <w:sz w:val="12"/>
                <w:szCs w:val="18"/>
              </w:rPr>
              <w:t>Europe</w:t>
            </w:r>
            <w:r w:rsidRPr="00A96D69">
              <w:rPr>
                <w:rFonts w:ascii="Cambria" w:hAnsi="Cambria"/>
                <w:sz w:val="12"/>
                <w:szCs w:val="18"/>
                <w:lang w:val="ru-RU"/>
              </w:rPr>
              <w:t xml:space="preserve"> на основе данных МВФ</w:t>
            </w:r>
          </w:p>
          <w:p w:rsidR="00B50B18" w:rsidRPr="00185F1A" w:rsidRDefault="00B50B18" w:rsidP="00816DA7">
            <w:pPr>
              <w:spacing w:before="120" w:after="120"/>
              <w:rPr>
                <w:rFonts w:ascii="Cambria" w:hAnsi="Cambria"/>
                <w:noProof/>
                <w:sz w:val="18"/>
                <w:szCs w:val="18"/>
                <w:lang w:val="ru-RU" w:eastAsia="en-GB"/>
              </w:rPr>
            </w:pPr>
          </w:p>
        </w:tc>
        <w:tc>
          <w:tcPr>
            <w:tcW w:w="236" w:type="dxa"/>
          </w:tcPr>
          <w:p w:rsidR="00D266DD" w:rsidRPr="00185F1A" w:rsidRDefault="00D266DD" w:rsidP="00D502D0">
            <w:pPr>
              <w:ind w:right="-1039"/>
              <w:rPr>
                <w:lang w:val="ru-RU"/>
              </w:rPr>
            </w:pPr>
          </w:p>
          <w:p w:rsidR="00040C65" w:rsidRPr="00185F1A" w:rsidRDefault="00040C65" w:rsidP="00D502D0">
            <w:pPr>
              <w:ind w:right="-1039"/>
              <w:rPr>
                <w:lang w:val="ru-RU"/>
              </w:rPr>
            </w:pPr>
          </w:p>
        </w:tc>
        <w:tc>
          <w:tcPr>
            <w:tcW w:w="6466" w:type="dxa"/>
          </w:tcPr>
          <w:p w:rsidR="00C97E77" w:rsidRPr="00831A3B" w:rsidRDefault="004E3B7F" w:rsidP="00965534">
            <w:pPr>
              <w:pBdr>
                <w:bottom w:val="single" w:sz="12" w:space="1" w:color="auto"/>
              </w:pBdr>
              <w:spacing w:after="120" w:line="336" w:lineRule="auto"/>
              <w:jc w:val="both"/>
              <w:rPr>
                <w:rFonts w:ascii="Cambria" w:hAnsi="Cambria"/>
                <w:b/>
                <w:szCs w:val="20"/>
                <w:lang w:val="en-US"/>
              </w:rPr>
            </w:pPr>
            <w:r>
              <w:rPr>
                <w:rFonts w:ascii="Cambria" w:hAnsi="Cambria"/>
                <w:b/>
                <w:szCs w:val="20"/>
                <w:lang w:val="ru-RU"/>
              </w:rPr>
              <w:t>Резюме</w:t>
            </w:r>
          </w:p>
          <w:p w:rsidR="00185F1A" w:rsidRPr="00185F1A" w:rsidRDefault="00185F1A" w:rsidP="00965534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Повышение кредитных рейтингов Узбекистана отражает устойчивое снижение финансовой </w:t>
            </w:r>
            <w:proofErr w:type="spellStart"/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>долларизации</w:t>
            </w:r>
            <w:proofErr w:type="spellEnd"/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, а также успешный выход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страны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на международный рынок капитала за счет выпуска первой эмиссии еврооблигаций в феврале 2019 года.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Устойчивая фискальная позиция правительства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, включая низкий государственный долг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умеренный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бюджетный дефицит,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высокий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экономический рост,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хорошие показатели прибыльности и капитализации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>банковск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ой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систем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ы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остаются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сильными сторонами кредитной позиции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>страны.</w:t>
            </w:r>
          </w:p>
          <w:p w:rsidR="00185F1A" w:rsidRPr="00185F1A" w:rsidRDefault="00185F1A" w:rsidP="00965534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В то же время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уровень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>рейтинг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ов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продолжает сдерживаться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повышенной и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ru-RU"/>
              </w:rPr>
              <w:t>волатильной</w:t>
            </w:r>
            <w:proofErr w:type="spellEnd"/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инфляцией, низким уровнем экономического и институционального развития, высокой долей государственного долга в иностранной валюте, а также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низким уровнем развития локальных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рынк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ов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капитала. Кроме того, высокий уровень сегментации </w:t>
            </w:r>
            <w:r w:rsidR="00C7105B">
              <w:rPr>
                <w:rFonts w:ascii="Cambria" w:hAnsi="Cambria"/>
                <w:sz w:val="20"/>
                <w:szCs w:val="20"/>
                <w:lang w:val="ru-RU"/>
              </w:rPr>
              <w:t xml:space="preserve">кредитного рынка 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при широком распространении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директивного кредитования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по льготным ставкам, а также высокая концентрация банковской системы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 доминированием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государственны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х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банк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ов</w:t>
            </w:r>
            <w:r w:rsidRPr="00185F1A">
              <w:rPr>
                <w:rFonts w:ascii="Cambria" w:hAnsi="Cambria"/>
                <w:sz w:val="20"/>
                <w:szCs w:val="20"/>
                <w:lang w:val="ru-RU"/>
              </w:rPr>
              <w:t xml:space="preserve"> являются ключевыми кредитными рисками для страны.</w:t>
            </w:r>
          </w:p>
          <w:p w:rsidR="00D76687" w:rsidRPr="00185F1A" w:rsidRDefault="00D76687" w:rsidP="00965534">
            <w:pPr>
              <w:pBdr>
                <w:bottom w:val="single" w:sz="12" w:space="1" w:color="auto"/>
              </w:pBdr>
              <w:spacing w:after="120" w:line="336" w:lineRule="auto"/>
              <w:jc w:val="both"/>
              <w:rPr>
                <w:rFonts w:ascii="Cambria" w:hAnsi="Cambria"/>
                <w:b/>
                <w:sz w:val="4"/>
                <w:szCs w:val="4"/>
                <w:highlight w:val="yellow"/>
                <w:lang w:val="ru-RU"/>
              </w:rPr>
            </w:pPr>
          </w:p>
          <w:p w:rsidR="00C97E77" w:rsidRPr="00185F1A" w:rsidRDefault="00C97E77" w:rsidP="00965534">
            <w:pPr>
              <w:spacing w:after="120" w:line="336" w:lineRule="auto"/>
              <w:jc w:val="both"/>
              <w:rPr>
                <w:rFonts w:ascii="Cambria" w:hAnsi="Cambria"/>
                <w:sz w:val="4"/>
                <w:szCs w:val="4"/>
                <w:highlight w:val="yellow"/>
                <w:lang w:val="ru-RU"/>
              </w:rPr>
            </w:pPr>
          </w:p>
          <w:p w:rsidR="00185F1A" w:rsidRPr="00BB1F0D" w:rsidRDefault="00BB1F0D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BB1F0D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Экономический рост остается высоким, поддерживая </w:t>
            </w:r>
            <w:r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рейтинговую </w:t>
            </w:r>
            <w:r w:rsidRPr="00BB1F0D">
              <w:rPr>
                <w:rFonts w:ascii="Cambria" w:hAnsi="Cambria"/>
                <w:b/>
                <w:sz w:val="20"/>
                <w:szCs w:val="20"/>
                <w:lang w:val="ru-RU"/>
              </w:rPr>
              <w:t>оценку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. Первые оценки показывают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ускорение роста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ВВП в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реальном выражении в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2018 году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до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5,1%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год</w:t>
            </w:r>
            <w:r w:rsidR="00A12787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к</w:t>
            </w:r>
            <w:r w:rsidR="00A12787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году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по сравнению с 4,5% в 2017 году</w:t>
            </w:r>
            <w:r w:rsidRPr="00BB1F0D">
              <w:rPr>
                <w:rStyle w:val="FootnoteReference"/>
                <w:rFonts w:ascii="Cambria" w:hAnsi="Cambria"/>
                <w:sz w:val="20"/>
                <w:szCs w:val="20"/>
                <w:lang w:val="en-US"/>
              </w:rPr>
              <w:footnoteReference w:id="1"/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(см. График 1). Такая устойчивая динамика в основном отражает увеличение инвестиций и растущее внутреннее потребление, поддерживаемое ростом заработной платы.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В отраслевом разрезе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основной вклад в экономический рост внесло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промышленное производство, которое выросл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 на 10,6% в реальном выражении, прежде всего за счет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горнодобывающей и обрабатывающей промышленности;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а также 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услуги и строительство. Сельскохозяйственный сектор, на который приходится более 30% валовой добавленной стоимости, </w:t>
            </w:r>
            <w:proofErr w:type="spellStart"/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>стагнировал</w:t>
            </w:r>
            <w:proofErr w:type="spellEnd"/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 xml:space="preserve"> из-за неблагоприятных погодных условий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проблем</w:t>
            </w:r>
            <w:r w:rsidR="00C7105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 водными ресурсами</w:t>
            </w:r>
            <w:r w:rsidRPr="00BB1F0D">
              <w:rPr>
                <w:rFonts w:ascii="Cambria" w:hAnsi="Cambria"/>
                <w:sz w:val="20"/>
                <w:szCs w:val="20"/>
                <w:lang w:val="ru-RU"/>
              </w:rPr>
              <w:t>.</w:t>
            </w:r>
          </w:p>
          <w:p w:rsidR="00C7105B" w:rsidRPr="00C7105B" w:rsidRDefault="00C7105B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Мы ожидаем, что рост 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ВВП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реально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м выражении 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будет близок к 5% в среднесрочной перспективе, что будет поддерживаться ростом инвестиций и потребления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, а также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отражать постепенное осуществление реформ. В то же время, высокая зависимость от сельскохозяйственного и сырьевого секторов (золото, хлопок, металлы и природный газ составляют более 65% экспорта страны) делает экономику уязвимой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к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погодны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м 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и внешни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м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риск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ам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.</w:t>
            </w:r>
          </w:p>
          <w:p w:rsidR="00C7105B" w:rsidRPr="00C7105B" w:rsidRDefault="00C7105B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Уровень 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ВВП на душу населения по ППС остается одни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м из самых низких в регионе - 7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>338 долл. США в 2018 году, а безработиц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а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достигает 6,9%. Оба показателя постепенно улучшаются в последние годы. Принимая во внимание демографическ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ий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прогноз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, только устойчивый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инклюзивный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рост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наряду</w:t>
            </w:r>
            <w:r w:rsidRPr="00C7105B">
              <w:rPr>
                <w:rFonts w:ascii="Cambria" w:hAnsi="Cambria"/>
                <w:sz w:val="20"/>
                <w:szCs w:val="20"/>
                <w:lang w:val="ru-RU"/>
              </w:rPr>
              <w:t xml:space="preserve"> с успешной реализацией реформ может привести к существенному улучшению обоих показателей в долгосрочной перспективе.</w:t>
            </w:r>
          </w:p>
          <w:p w:rsidR="00A12787" w:rsidRPr="00A12787" w:rsidRDefault="00A12787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12787">
              <w:rPr>
                <w:rFonts w:ascii="Cambria" w:hAnsi="Cambria"/>
                <w:b/>
                <w:sz w:val="20"/>
                <w:szCs w:val="20"/>
                <w:lang w:val="ru-RU"/>
              </w:rPr>
              <w:t>Долговая нагрузка остается умеренной, структура долга немного улучшилась после выпуска новых облигаций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. Согласно последним оценкам, к концу 2018 года уровень государственного долга достиг 24,6% ВВП и около 80% доходов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бюджета 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(см. График 2). Показатель отражает низкий кредитный риск для Узбекистана, несмотря на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постепенное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накопление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долга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за последние три года. Принимая во внимание намерение правительства увеличить глубину местного долгового рынка и укрепить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свои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позиции на международных рынках капитала, мы можем ожидать, что отношение государственного долга к ВВП достигнет 25% к концу 2019 года.</w:t>
            </w:r>
          </w:p>
          <w:p w:rsidR="00A12787" w:rsidRPr="00A12787" w:rsidRDefault="00A12787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Cambria" w:hAnsi="Cambria"/>
                <w:sz w:val="20"/>
                <w:szCs w:val="20"/>
                <w:lang w:val="ru-RU"/>
              </w:rPr>
              <w:t>Валютная структура долга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остается ключевым фактором риска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для долговой позиции правительства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, поскольку почти 100% государственного долга выражено в иностранной валюте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представлено внешними займами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. Эти риски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нивелируются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за счет значительных накопленных международных резервов, эквивалентных 27,1 млрд.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д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олл. США, которые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превышают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общий государственный долг и краткосрочный долг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>3 и 63 раза соответственно. Более того, около 30% государственного долга все еще можно рассматривать как льготные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займы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(двусторонние займы и кредиты от международных финансовых институтов), что также частично снижает риски погашения.</w:t>
            </w:r>
          </w:p>
          <w:p w:rsidR="00A12787" w:rsidRPr="00A12787" w:rsidRDefault="00A12787" w:rsidP="000D35DC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В декабре 2018 года впервые после либерализации обменного курса на местном рынке были выпущены государственные облигации, номинированные в сумах, номинальной стоимостью 600 млрд. </w:t>
            </w:r>
            <w:proofErr w:type="spellStart"/>
            <w:r w:rsidR="00AA5112">
              <w:rPr>
                <w:rFonts w:ascii="Cambria" w:hAnsi="Cambria"/>
                <w:sz w:val="20"/>
                <w:szCs w:val="20"/>
                <w:lang w:val="ru-RU"/>
              </w:rPr>
              <w:t>с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>ум</w:t>
            </w:r>
            <w:proofErr w:type="spellEnd"/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. Вместе с выпусками в феврале и марте 2019 года общий объем облигаций, выраженных в 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национальной валюте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, пока составляет около 1% общего государственного долга. Однако мы ожидаем, что правительство продолжит выпуск облигаций на местном рынке в течение 2019 года, что 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является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положительным фактором, снижающим в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алютные риски структуры долга и способствует развитию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местн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ого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финансов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ого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 xml:space="preserve"> рын</w:t>
            </w:r>
            <w:r w:rsidR="00AA5112">
              <w:rPr>
                <w:rFonts w:ascii="Cambria" w:hAnsi="Cambria"/>
                <w:sz w:val="20"/>
                <w:szCs w:val="20"/>
                <w:lang w:val="ru-RU"/>
              </w:rPr>
              <w:t>ка</w:t>
            </w:r>
            <w:r w:rsidRPr="00A12787">
              <w:rPr>
                <w:rFonts w:ascii="Cambria" w:hAnsi="Cambria"/>
                <w:sz w:val="20"/>
                <w:szCs w:val="20"/>
                <w:lang w:val="ru-RU"/>
              </w:rPr>
              <w:t>.</w:t>
            </w:r>
          </w:p>
          <w:p w:rsidR="00AA5112" w:rsidRPr="00AA5112" w:rsidRDefault="00AA5112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lang w:val="ru-RU"/>
              </w:rPr>
            </w:pP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Кроме того, в феврале 2019 года Узбекистан впервые выпустил на Лондонской фондовой бирже государственные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евро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облигации на 1 млрд долларов США двумя траншами со сроками погашения в 2024 и 2029 годах.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Сделка была совершена с доходностью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>4,8% и 5,4%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для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5-летних и 10-летних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бумаг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соответственно. К концу февраля 2019 года после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дние бумаги торговались со спрэдом по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доходности около 2,8 </w:t>
            </w:r>
            <w:proofErr w:type="spellStart"/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>п.п</w:t>
            </w:r>
            <w:proofErr w:type="spellEnd"/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. к 10-летним облигациям США, что довольно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мало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для развивающейся страны,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только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>выходящей на рынок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капитала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Более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того, этот выпуск создал положительный ориентир для узбекских компаний, планирующих выпустить долговые обязательства в иностранной валюте на международных рынках в 2019-2020 годах.</w:t>
            </w:r>
          </w:p>
          <w:p w:rsidR="00AA5112" w:rsidRPr="00AA5112" w:rsidRDefault="00AA5112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A5112">
              <w:rPr>
                <w:rFonts w:ascii="Cambria" w:hAnsi="Cambria"/>
                <w:b/>
                <w:sz w:val="20"/>
                <w:szCs w:val="20"/>
                <w:lang w:val="ru-RU"/>
              </w:rPr>
              <w:t>Фискальная позиция остается устойчивой, но все еще искажена внебюджетными операциями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. По нашим оценкам, к концу прошлого года консолидированный баланс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бюджета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>составит около 2,7% ВВП</w:t>
            </w:r>
            <w:r w:rsidRPr="00AA5112">
              <w:rPr>
                <w:rStyle w:val="FootnoteReference"/>
                <w:rFonts w:ascii="Cambria" w:hAnsi="Cambria"/>
                <w:sz w:val="20"/>
                <w:szCs w:val="20"/>
                <w:lang w:val="en-US"/>
              </w:rPr>
              <w:footnoteReference w:id="2"/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, что близко к показателю 2017 года в 2,1%; в то время как </w:t>
            </w:r>
            <w:r w:rsidR="005B2854">
              <w:rPr>
                <w:rFonts w:ascii="Cambria" w:hAnsi="Cambria"/>
                <w:sz w:val="20"/>
                <w:szCs w:val="20"/>
                <w:lang w:val="ru-RU"/>
              </w:rPr>
              <w:t>совокупный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бюджетный дефицит, который включает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себя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кредитование экономических программ, по прогнозам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МВФ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достигнет 2,5% (см. график 2). На наш взгляд, даже самая консервативная оценка </w:t>
            </w:r>
            <w:r w:rsidR="005B2854">
              <w:rPr>
                <w:rFonts w:ascii="Cambria" w:hAnsi="Cambria"/>
                <w:sz w:val="20"/>
                <w:szCs w:val="20"/>
                <w:lang w:val="ru-RU"/>
              </w:rPr>
              <w:t>совокупного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дефицита в размере около 3% </w:t>
            </w:r>
            <w:r w:rsidR="005B2854">
              <w:rPr>
                <w:rFonts w:ascii="Cambria" w:hAnsi="Cambria"/>
                <w:sz w:val="20"/>
                <w:szCs w:val="20"/>
                <w:lang w:val="ru-RU"/>
              </w:rPr>
              <w:t xml:space="preserve">ВВП 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не является риском для </w:t>
            </w:r>
            <w:r w:rsidR="005B2854">
              <w:rPr>
                <w:rFonts w:ascii="Cambria" w:hAnsi="Cambria"/>
                <w:sz w:val="20"/>
                <w:szCs w:val="20"/>
                <w:lang w:val="ru-RU"/>
              </w:rPr>
              <w:t>фискальной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позиции правительства, и мы не ожидаем</w:t>
            </w:r>
            <w:r w:rsidR="005B2854">
              <w:rPr>
                <w:rFonts w:ascii="Cambria" w:hAnsi="Cambria"/>
                <w:sz w:val="20"/>
                <w:szCs w:val="20"/>
                <w:lang w:val="ru-RU"/>
              </w:rPr>
              <w:t xml:space="preserve"> ее</w:t>
            </w:r>
            <w:r w:rsidRPr="00AA5112">
              <w:rPr>
                <w:rFonts w:ascii="Cambria" w:hAnsi="Cambria"/>
                <w:sz w:val="20"/>
                <w:szCs w:val="20"/>
                <w:lang w:val="ru-RU"/>
              </w:rPr>
              <w:t xml:space="preserve"> существенного ухудшения к концу 2019 года.</w:t>
            </w:r>
          </w:p>
          <w:p w:rsidR="005B2854" w:rsidRPr="005B2854" w:rsidRDefault="005B2854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В то же время вышеуказанные внебюджетные расходы негативно повлияли на нашу оценку качества фискальной политики. Постепенное сокращение таких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транзакций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и объединение всех проводимых правительством операций в рамках одного счета может привести к повышению оценки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данного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фактор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а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. Кроме того, мы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учли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текущую налоговую реформу и введение трехлетнего фискального плана (вместо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однолетнего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) в качестве позитивного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рейтингового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фактора.</w:t>
            </w:r>
          </w:p>
          <w:p w:rsidR="005B2854" w:rsidRPr="005B2854" w:rsidRDefault="005B2854" w:rsidP="004C5657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Мы также оставили без изменений нашу оценку условных обязательств правительства и планов приватизации. Поскольку в экономике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целом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банковской системе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в частности, преобладают государственные предприятия, это создает значительные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скрытые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условные обязательства для правительства, которое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вынуждено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предоставлять ресурсы в случае финансовых затруднений. Это уже наблюдалось в 2017 году, когда банки получали поддержку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форме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ликвидности и капитала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накануне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девальвации сума. Поскольку правительство пояснило, что улучшение корпоративного управления, прозрачности и финансового положения основных государственных предприятий является ключевым краткосрочным приоритетом, мы не ожидаем значительного сокращения доли государства в экономике в среднесрочной перспективе. Власти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также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недавно объявили о программе реструктуризации нескольких крупных энергетических компаний и даже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о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потенциальной приватизации некоторых государственных банков. На наш взгляд, эти планы могут быть реализованы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только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после 2019 года, а краткосрочные приватизационные действия будут ограничены земельными участками несельскохозяйственного назначения.</w:t>
            </w:r>
          </w:p>
          <w:p w:rsidR="005B2854" w:rsidRPr="005B2854" w:rsidRDefault="005B2854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5B285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Показатели банковской системы остаются </w:t>
            </w:r>
            <w:r w:rsidR="00A96D69">
              <w:rPr>
                <w:rFonts w:ascii="Cambria" w:hAnsi="Cambria"/>
                <w:b/>
                <w:sz w:val="20"/>
                <w:szCs w:val="20"/>
                <w:lang w:val="ru-RU"/>
              </w:rPr>
              <w:t>устойчивыми</w:t>
            </w:r>
            <w:r w:rsidRPr="005B2854">
              <w:rPr>
                <w:rFonts w:ascii="Cambria" w:hAnsi="Cambria"/>
                <w:b/>
                <w:sz w:val="20"/>
                <w:szCs w:val="20"/>
                <w:lang w:val="ru-RU"/>
              </w:rPr>
              <w:t>, но скрытые риски сохраняются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Совокупные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активы банков и валовы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й кредит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выросли на 28,7% и 51,3% год к году в номинальном выражении в 2018 году. Эта динамика была в основном обусловлена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ростом кредитования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юридически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х лиц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в промышленном секторе, транспорте и связи для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инвестиционных 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целей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пополнения оборотных средств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. Ипотечные и потребительские кредиты выросли на 48% и 265% 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год к году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в номинальном выражении; 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в то же время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, они составляют только 13% от общего объема валовых кредитов, что создает умеренно низкий риск для стабильности банковской системы; в то время как более 85% от общего объема кредитов составля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е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т корпоративны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й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долг, в основном предоставляемы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й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 xml:space="preserve"> государственными банками государственным предприятиям по льготным ставкам (рассматривается как </w:t>
            </w:r>
            <w:r w:rsidR="00A96D69">
              <w:rPr>
                <w:rFonts w:ascii="Cambria" w:hAnsi="Cambria"/>
                <w:sz w:val="20"/>
                <w:szCs w:val="20"/>
                <w:lang w:val="ru-RU"/>
              </w:rPr>
              <w:t>директивное кредитование</w:t>
            </w:r>
            <w:r w:rsidRPr="005B2854">
              <w:rPr>
                <w:rFonts w:ascii="Cambria" w:hAnsi="Cambria"/>
                <w:sz w:val="20"/>
                <w:szCs w:val="20"/>
                <w:lang w:val="ru-RU"/>
              </w:rPr>
              <w:t>).</w:t>
            </w:r>
          </w:p>
          <w:p w:rsidR="00A96D69" w:rsidRPr="00A96D69" w:rsidRDefault="00A96D69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Показатели прибыльности и капитализации банковской системы остаются стабильными: показатель рентабельности капитала составляет 2%, отношение капитала к активам - 12,4%, а соотношение нормативного капитала 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к активам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, взвешенны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м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с учетом риска, - на уровне 15,6% к концу 2018 года (см. График 3). Официально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публикуемый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уровень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неработающих кредитов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остается умеренно низким - 1,3%, несмотря на незначительный рост в 2018 году. Однако риски концентрации по-прежнему высоки: на три крупнейших банка приходится 55% совокупных активов, в то время как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госбанки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по-прежнему доминируют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в 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систем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е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формируя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более 80% совокупных активов к концу 2018 года. Принимая во внимание, что некоторые из государственных предприятий уже столкнулись с финансовыми затруднениями после либерализации обменного курса и большой долей реструктурированных кредитов в иностранной валюте, мы можем ожидать ухудшения балансов банков в среднесрочной перспективе. Однако этот риск все еще частично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нивелируется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высокой вероятностью поддержки со стороны правительства.</w:t>
            </w:r>
          </w:p>
          <w:p w:rsidR="00A96D69" w:rsidRPr="00A96D69" w:rsidRDefault="00A96D69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96D69">
              <w:rPr>
                <w:rFonts w:ascii="Cambria" w:hAnsi="Cambria"/>
                <w:b/>
                <w:sz w:val="20"/>
                <w:szCs w:val="20"/>
                <w:lang w:val="ru-RU"/>
              </w:rPr>
              <w:t>Денежно-кредитная политика остается жесткой, но не полностью эффективной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. Рост индекса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потребительских цен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замедлился в течение 2018 года и достиг 14,3%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к концу года (см. График 4), 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после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фиксирования своего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максимального значения в 20,1% в январе 2018 года. Однако из-за возросшей волатильности обменного курса во 2 полугодии 2018 год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а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(см. График 5), быстро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го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рост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а 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внутреннего спроса и неблагоприятных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инфляционных ожиданий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Центральный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Б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анк Узбекистана (ЦБУ) повысил ставку рефинансирования с 14% до 16% в сентябре 2018 года, придерживаясь жесткой политики.</w:t>
            </w:r>
          </w:p>
          <w:p w:rsidR="00A96D69" w:rsidRPr="00A96D69" w:rsidRDefault="00A96D69" w:rsidP="00D22D96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highlight w:val="yellow"/>
                <w:lang w:val="ru-RU"/>
              </w:rPr>
            </w:pP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Эффективность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трансмиссионного 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механизма остается ограниченной из-за вышеупомянутой сегментации кредитного рынка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слабой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независимости ЦБУ. Уровни финансовой </w:t>
            </w:r>
            <w:proofErr w:type="spellStart"/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долларизации</w:t>
            </w:r>
            <w:proofErr w:type="spellEnd"/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, которые также искажают эффективность политики, постепенно снижались в течение 2018 года и к концу года достигли 56% от общего объема кредитов и 38% от общего объема депозитов (см. Диаграмму 6). Последнее было поддержано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решением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 ЦБУ о введении повышенных норм обязательных резервов для валютных депозитов юридических лиц. Мы ожидаем, что денежно-кредитная политика будет оставаться жесткой в течение 2018 года, а инфляция будет находиться в диапазоне от 15% до 18% к концу 2019 года, что выше прогнозируемого диапазона ЦБУ 13,5%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-</w:t>
            </w:r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 xml:space="preserve">15,5%. Если внешняя среда останется умеренно стабильной, мы также ожидаем дальнейшего снижения </w:t>
            </w:r>
            <w:proofErr w:type="spellStart"/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долларизации</w:t>
            </w:r>
            <w:proofErr w:type="spellEnd"/>
            <w:r w:rsidRPr="00A96D69">
              <w:rPr>
                <w:rFonts w:ascii="Cambria" w:hAnsi="Cambria"/>
                <w:sz w:val="20"/>
                <w:szCs w:val="20"/>
                <w:lang w:val="ru-RU"/>
              </w:rPr>
              <w:t>.</w:t>
            </w:r>
          </w:p>
          <w:p w:rsidR="00E97973" w:rsidRPr="00E97973" w:rsidRDefault="00E97973" w:rsidP="00E97973">
            <w:pPr>
              <w:spacing w:after="120" w:line="336" w:lineRule="auto"/>
              <w:jc w:val="both"/>
              <w:rPr>
                <w:rFonts w:ascii="Cambria" w:hAnsi="Cambria"/>
                <w:sz w:val="20"/>
                <w:szCs w:val="20"/>
                <w:lang w:val="ru-RU"/>
              </w:rPr>
            </w:pPr>
            <w:r w:rsidRPr="00E97973">
              <w:rPr>
                <w:rFonts w:ascii="Cambria" w:hAnsi="Cambria"/>
                <w:b/>
                <w:sz w:val="20"/>
                <w:szCs w:val="20"/>
                <w:lang w:val="ru-RU"/>
              </w:rPr>
              <w:t>Внешняя позиция ухудшилась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>. После либерализации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внешней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 торговли импорт в 2018 году увеличился на 39,6%, чему способствовал рост кредитования, в основном за счет инвестиционных программ государственных предприятий. В то же время экспорт увеличился только на 13,6%, что привело к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ожидаемому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 торгов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ому дефициту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дефициту 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>счета текущих операций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в 12% и 8% соответственно (см. График 7). Мы ожидаем, что оба показателя останутся отрицательными в последующие годы из-за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планируемой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 модернизации национальной экономики. В то же время эти внешние риски </w:t>
            </w:r>
            <w:r>
              <w:rPr>
                <w:rFonts w:ascii="Cambria" w:hAnsi="Cambria"/>
                <w:sz w:val="20"/>
                <w:szCs w:val="20"/>
                <w:lang w:val="ru-RU"/>
              </w:rPr>
              <w:t>нивелируются</w:t>
            </w:r>
            <w:r w:rsidRPr="00E97973">
              <w:rPr>
                <w:rFonts w:ascii="Cambria" w:hAnsi="Cambria"/>
                <w:sz w:val="20"/>
                <w:szCs w:val="20"/>
                <w:lang w:val="ru-RU"/>
              </w:rPr>
              <w:t xml:space="preserve"> значительными международными резервами и умеренно низким внешним долгом.</w:t>
            </w:r>
          </w:p>
        </w:tc>
      </w:tr>
    </w:tbl>
    <w:p w:rsidR="007E6389" w:rsidRDefault="00E97973" w:rsidP="00900710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b/>
          <w:lang w:val="en-US"/>
        </w:rPr>
      </w:pPr>
      <w:r>
        <w:rPr>
          <w:rFonts w:ascii="Cambria" w:eastAsia="Calibri" w:hAnsi="Cambria" w:cs="Times New Roman"/>
          <w:b/>
          <w:lang w:val="en-US"/>
        </w:rPr>
        <w:pict w14:anchorId="7E964385">
          <v:rect id="_x0000_i1025" style="width:0;height:1.5pt" o:hralign="center" o:hrstd="t" o:hr="t" fillcolor="#a0a0a0" stroked="f"/>
        </w:pict>
      </w:r>
    </w:p>
    <w:p w:rsidR="006E1027" w:rsidRPr="00196F5C" w:rsidRDefault="006E1027" w:rsidP="006E1027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b/>
          <w:sz w:val="16"/>
          <w:szCs w:val="16"/>
          <w:lang w:val="ru-RU"/>
        </w:rPr>
      </w:pPr>
      <w:r w:rsidRPr="00196F5C">
        <w:rPr>
          <w:rFonts w:ascii="Cambria" w:eastAsia="Calibri" w:hAnsi="Cambria" w:cs="Times New Roman"/>
          <w:b/>
          <w:sz w:val="16"/>
          <w:szCs w:val="16"/>
          <w:lang w:val="ru-RU"/>
        </w:rPr>
        <w:t>Важное примечание для суверенных рейтингов</w:t>
      </w:r>
    </w:p>
    <w:p w:rsidR="006E1027" w:rsidRDefault="006E1027" w:rsidP="006E1027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sz w:val="16"/>
          <w:szCs w:val="16"/>
          <w:lang w:val="ru-RU"/>
        </w:rPr>
      </w:pPr>
      <w:r w:rsidRPr="008F4B23">
        <w:rPr>
          <w:rFonts w:ascii="Cambria" w:eastAsia="Calibri" w:hAnsi="Cambria" w:cs="Times New Roman"/>
          <w:sz w:val="16"/>
          <w:szCs w:val="16"/>
          <w:lang w:val="ru-RU"/>
        </w:rPr>
        <w:t xml:space="preserve">Этот </w:t>
      </w:r>
      <w:r>
        <w:rPr>
          <w:rFonts w:ascii="Cambria" w:eastAsia="Calibri" w:hAnsi="Cambria" w:cs="Times New Roman"/>
          <w:sz w:val="16"/>
          <w:szCs w:val="16"/>
          <w:lang w:val="ru-RU"/>
        </w:rPr>
        <w:t>и</w:t>
      </w:r>
      <w:r w:rsidRPr="008F4B23">
        <w:rPr>
          <w:rFonts w:ascii="Cambria" w:eastAsia="Calibri" w:hAnsi="Cambria" w:cs="Times New Roman"/>
          <w:sz w:val="16"/>
          <w:szCs w:val="16"/>
          <w:lang w:val="ru-RU"/>
        </w:rPr>
        <w:t xml:space="preserve">сследовательский отчет рассматривается как дополнительная часть опубликованного пресс-релиза, </w:t>
      </w:r>
      <w:r>
        <w:rPr>
          <w:rFonts w:ascii="Cambria" w:eastAsia="Calibri" w:hAnsi="Cambria" w:cs="Times New Roman"/>
          <w:sz w:val="16"/>
          <w:szCs w:val="16"/>
          <w:lang w:val="ru-RU"/>
        </w:rPr>
        <w:t>доступного по следующей ссылке</w:t>
      </w:r>
      <w:r w:rsidRPr="008F4B23">
        <w:rPr>
          <w:rFonts w:ascii="Cambria" w:eastAsia="Calibri" w:hAnsi="Cambria" w:cs="Times New Roman"/>
          <w:sz w:val="16"/>
          <w:szCs w:val="16"/>
          <w:lang w:val="ru-RU"/>
        </w:rPr>
        <w:t>:</w:t>
      </w:r>
    </w:p>
    <w:p w:rsidR="00193FE8" w:rsidRPr="006E1027" w:rsidRDefault="00193FE8" w:rsidP="00A908F9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sz w:val="16"/>
          <w:szCs w:val="16"/>
          <w:lang w:val="ru-RU"/>
        </w:rPr>
      </w:pPr>
      <w:hyperlink r:id="rId18" w:history="1"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https</w:t>
        </w:r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://</w:t>
        </w:r>
        <w:proofErr w:type="spellStart"/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raexpert</w:t>
        </w:r>
        <w:proofErr w:type="spellEnd"/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.</w:t>
        </w:r>
        <w:proofErr w:type="spellStart"/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eu</w:t>
        </w:r>
        <w:proofErr w:type="spellEnd"/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/</w:t>
        </w:r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reports</w:t>
        </w:r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/</w:t>
        </w:r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Press</w:t>
        </w:r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_</w:t>
        </w:r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release</w:t>
        </w:r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_</w:t>
        </w:r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Uzbekistan</w:t>
        </w:r>
        <w:r w:rsidRPr="006E1027">
          <w:rPr>
            <w:rStyle w:val="Hyperlink"/>
            <w:rFonts w:ascii="Cambria" w:eastAsia="Calibri" w:hAnsi="Cambria" w:cs="Times New Roman"/>
            <w:sz w:val="16"/>
            <w:szCs w:val="16"/>
            <w:lang w:val="ru-RU"/>
          </w:rPr>
          <w:t>_08.03.2019.</w:t>
        </w:r>
        <w:r w:rsidRPr="007931E5">
          <w:rPr>
            <w:rStyle w:val="Hyperlink"/>
            <w:rFonts w:ascii="Cambria" w:eastAsia="Calibri" w:hAnsi="Cambria" w:cs="Times New Roman"/>
            <w:sz w:val="16"/>
            <w:szCs w:val="16"/>
            <w:lang w:val="en-US"/>
          </w:rPr>
          <w:t>pdf</w:t>
        </w:r>
      </w:hyperlink>
    </w:p>
    <w:p w:rsidR="006E1027" w:rsidRPr="008F4B23" w:rsidRDefault="006E1027" w:rsidP="006E1027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sz w:val="16"/>
          <w:szCs w:val="16"/>
          <w:lang w:val="ru-RU"/>
        </w:rPr>
      </w:pPr>
      <w:r w:rsidRPr="008F4B23">
        <w:rPr>
          <w:rFonts w:ascii="Cambria" w:eastAsia="Calibri" w:hAnsi="Cambria" w:cs="Times New Roman"/>
          <w:sz w:val="16"/>
          <w:szCs w:val="16"/>
          <w:lang w:val="ru-RU"/>
        </w:rPr>
        <w:t>Оба документа должны рассматриваться как существенные части друг друга.</w:t>
      </w:r>
    </w:p>
    <w:p w:rsidR="006E1027" w:rsidRPr="008F4B23" w:rsidRDefault="006E1027" w:rsidP="006E1027">
      <w:pPr>
        <w:tabs>
          <w:tab w:val="left" w:pos="7245"/>
        </w:tabs>
        <w:ind w:left="-709" w:right="-897"/>
        <w:jc w:val="both"/>
        <w:rPr>
          <w:rFonts w:ascii="Cambria" w:eastAsia="Calibri" w:hAnsi="Cambria" w:cs="Times New Roman"/>
          <w:sz w:val="16"/>
          <w:szCs w:val="16"/>
          <w:lang w:val="ru-RU"/>
        </w:rPr>
      </w:pPr>
      <w:r>
        <w:rPr>
          <w:rFonts w:ascii="Cambria" w:eastAsia="Calibri" w:hAnsi="Cambria" w:cs="Times New Roman"/>
          <w:sz w:val="16"/>
          <w:szCs w:val="16"/>
          <w:lang w:val="ru-RU"/>
        </w:rPr>
        <w:t>Дополнительную информацию</w:t>
      </w:r>
      <w:r w:rsidRPr="008F4B23">
        <w:rPr>
          <w:rFonts w:ascii="Cambria" w:eastAsia="Calibri" w:hAnsi="Cambria" w:cs="Times New Roman"/>
          <w:sz w:val="16"/>
          <w:szCs w:val="16"/>
          <w:lang w:val="ru-RU"/>
        </w:rPr>
        <w:t xml:space="preserve"> о факторах, их весах, методологиях, рисках и </w:t>
      </w:r>
      <w:proofErr w:type="gramStart"/>
      <w:r w:rsidRPr="008F4B23">
        <w:rPr>
          <w:rFonts w:ascii="Cambria" w:eastAsia="Calibri" w:hAnsi="Cambria" w:cs="Times New Roman"/>
          <w:sz w:val="16"/>
          <w:szCs w:val="16"/>
          <w:lang w:val="ru-RU"/>
        </w:rPr>
        <w:t>ограничениях этих рейтингов</w:t>
      </w:r>
      <w:proofErr w:type="gramEnd"/>
      <w:r w:rsidRPr="008F4B23">
        <w:rPr>
          <w:rFonts w:ascii="Cambria" w:eastAsia="Calibri" w:hAnsi="Cambria" w:cs="Times New Roman"/>
          <w:sz w:val="16"/>
          <w:szCs w:val="16"/>
          <w:lang w:val="ru-RU"/>
        </w:rPr>
        <w:t xml:space="preserve"> и других нормативных раскрытиях, </w:t>
      </w:r>
      <w:r>
        <w:rPr>
          <w:rFonts w:ascii="Cambria" w:eastAsia="Calibri" w:hAnsi="Cambria" w:cs="Times New Roman"/>
          <w:sz w:val="16"/>
          <w:szCs w:val="16"/>
          <w:lang w:val="ru-RU"/>
        </w:rPr>
        <w:t>Вы сможете найти в пресс-релизе и на веб-сайте</w:t>
      </w:r>
      <w:r w:rsidRPr="008F4B23">
        <w:rPr>
          <w:rFonts w:ascii="Cambria" w:eastAsia="Calibri" w:hAnsi="Cambria" w:cs="Times New Roman"/>
          <w:sz w:val="16"/>
          <w:szCs w:val="16"/>
          <w:lang w:val="ru-RU"/>
        </w:rPr>
        <w:t xml:space="preserve"> Агентства.</w:t>
      </w:r>
    </w:p>
    <w:p w:rsidR="00A12787" w:rsidRDefault="006E1027" w:rsidP="00A12787">
      <w:pPr>
        <w:tabs>
          <w:tab w:val="left" w:pos="7245"/>
        </w:tabs>
        <w:spacing w:after="120" w:line="240" w:lineRule="auto"/>
        <w:ind w:left="-709" w:right="-896"/>
        <w:jc w:val="both"/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</w:pPr>
      <w:r w:rsidRPr="00052E03"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  <w:t>Важное примечание для перевода на русский язык</w:t>
      </w:r>
      <w:r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  <w:t>:</w:t>
      </w:r>
      <w:r w:rsidRPr="00FD0B19"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  <w:t xml:space="preserve"> </w:t>
      </w:r>
      <w:r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  <w:t>Данный документ является переводом отчета на русский язык и не рассматривается как официальное мнение рейтингового Агентства. Официальное мнение Агентства выражено только в официальном отчете на английском языке, опубликованном на сайте Агентства</w:t>
      </w:r>
      <w:r w:rsidRPr="00FD0B19">
        <w:rPr>
          <w:rFonts w:ascii="Cambria" w:eastAsia="Calibri" w:hAnsi="Cambria" w:cs="Times New Roman"/>
          <w:b/>
          <w:color w:val="FF0000"/>
          <w:sz w:val="16"/>
          <w:szCs w:val="16"/>
          <w:lang w:val="ru-RU"/>
        </w:rPr>
        <w:t>:</w:t>
      </w:r>
    </w:p>
    <w:p w:rsidR="006E1027" w:rsidRPr="00A12787" w:rsidRDefault="00A12787" w:rsidP="00A12787">
      <w:pPr>
        <w:tabs>
          <w:tab w:val="left" w:pos="7245"/>
        </w:tabs>
        <w:spacing w:after="120" w:line="240" w:lineRule="auto"/>
        <w:ind w:left="-709" w:right="-896"/>
        <w:jc w:val="both"/>
        <w:rPr>
          <w:rFonts w:ascii="Cambria" w:eastAsia="Calibri" w:hAnsi="Cambria" w:cs="Times New Roman"/>
          <w:b/>
          <w:color w:val="FF0000"/>
          <w:sz w:val="10"/>
          <w:szCs w:val="16"/>
          <w:lang w:val="ru-RU"/>
        </w:rPr>
      </w:pPr>
      <w:hyperlink r:id="rId19" w:history="1">
        <w:r w:rsidRPr="00A12787">
          <w:rPr>
            <w:rStyle w:val="Hyperlink"/>
            <w:rFonts w:ascii="Cambria" w:hAnsi="Cambria"/>
            <w:sz w:val="16"/>
            <w:lang w:val="en-US"/>
          </w:rPr>
          <w:t>https</w:t>
        </w:r>
        <w:r w:rsidRPr="00A12787">
          <w:rPr>
            <w:rStyle w:val="Hyperlink"/>
            <w:rFonts w:ascii="Cambria" w:hAnsi="Cambria"/>
            <w:sz w:val="16"/>
            <w:lang w:val="ru-RU"/>
          </w:rPr>
          <w:t>://</w:t>
        </w:r>
        <w:proofErr w:type="spellStart"/>
        <w:r w:rsidRPr="00A12787">
          <w:rPr>
            <w:rStyle w:val="Hyperlink"/>
            <w:rFonts w:ascii="Cambria" w:hAnsi="Cambria"/>
            <w:sz w:val="16"/>
            <w:lang w:val="en-US"/>
          </w:rPr>
          <w:t>raexpert</w:t>
        </w:r>
        <w:proofErr w:type="spellEnd"/>
        <w:r w:rsidRPr="00A12787">
          <w:rPr>
            <w:rStyle w:val="Hyperlink"/>
            <w:rFonts w:ascii="Cambria" w:hAnsi="Cambria"/>
            <w:sz w:val="16"/>
            <w:lang w:val="ru-RU"/>
          </w:rPr>
          <w:t>.</w:t>
        </w:r>
        <w:proofErr w:type="spellStart"/>
        <w:r w:rsidRPr="00A12787">
          <w:rPr>
            <w:rStyle w:val="Hyperlink"/>
            <w:rFonts w:ascii="Cambria" w:hAnsi="Cambria"/>
            <w:sz w:val="16"/>
            <w:lang w:val="en-US"/>
          </w:rPr>
          <w:t>eu</w:t>
        </w:r>
        <w:proofErr w:type="spellEnd"/>
        <w:r w:rsidRPr="00A12787">
          <w:rPr>
            <w:rStyle w:val="Hyperlink"/>
            <w:rFonts w:ascii="Cambria" w:hAnsi="Cambria"/>
            <w:sz w:val="16"/>
            <w:lang w:val="ru-RU"/>
          </w:rPr>
          <w:t>/</w:t>
        </w:r>
        <w:r w:rsidRPr="00A12787">
          <w:rPr>
            <w:rStyle w:val="Hyperlink"/>
            <w:rFonts w:ascii="Cambria" w:hAnsi="Cambria"/>
            <w:sz w:val="16"/>
            <w:lang w:val="en-US"/>
          </w:rPr>
          <w:t>reports</w:t>
        </w:r>
        <w:r w:rsidRPr="00A12787">
          <w:rPr>
            <w:rStyle w:val="Hyperlink"/>
            <w:rFonts w:ascii="Cambria" w:hAnsi="Cambria"/>
            <w:sz w:val="16"/>
            <w:lang w:val="ru-RU"/>
          </w:rPr>
          <w:t>/</w:t>
        </w:r>
        <w:r w:rsidRPr="00A12787">
          <w:rPr>
            <w:rStyle w:val="Hyperlink"/>
            <w:rFonts w:ascii="Cambria" w:hAnsi="Cambria"/>
            <w:sz w:val="16"/>
            <w:lang w:val="en-US"/>
          </w:rPr>
          <w:t>Research</w:t>
        </w:r>
        <w:r w:rsidRPr="00A12787">
          <w:rPr>
            <w:rStyle w:val="Hyperlink"/>
            <w:rFonts w:ascii="Cambria" w:hAnsi="Cambria"/>
            <w:sz w:val="16"/>
            <w:lang w:val="ru-RU"/>
          </w:rPr>
          <w:t>_</w:t>
        </w:r>
        <w:r w:rsidRPr="00A12787">
          <w:rPr>
            <w:rStyle w:val="Hyperlink"/>
            <w:rFonts w:ascii="Cambria" w:hAnsi="Cambria"/>
            <w:sz w:val="16"/>
            <w:lang w:val="en-US"/>
          </w:rPr>
          <w:t>report</w:t>
        </w:r>
        <w:r w:rsidRPr="00A12787">
          <w:rPr>
            <w:rStyle w:val="Hyperlink"/>
            <w:rFonts w:ascii="Cambria" w:hAnsi="Cambria"/>
            <w:sz w:val="16"/>
            <w:lang w:val="ru-RU"/>
          </w:rPr>
          <w:t>_</w:t>
        </w:r>
        <w:r w:rsidRPr="00A12787">
          <w:rPr>
            <w:rStyle w:val="Hyperlink"/>
            <w:rFonts w:ascii="Cambria" w:hAnsi="Cambria"/>
            <w:sz w:val="16"/>
            <w:lang w:val="en-US"/>
          </w:rPr>
          <w:t>Uzbekistan</w:t>
        </w:r>
        <w:r w:rsidRPr="00A12787">
          <w:rPr>
            <w:rStyle w:val="Hyperlink"/>
            <w:rFonts w:ascii="Cambria" w:hAnsi="Cambria"/>
            <w:sz w:val="16"/>
            <w:lang w:val="ru-RU"/>
          </w:rPr>
          <w:t>_08.03.2019.</w:t>
        </w:r>
        <w:r w:rsidRPr="00A12787">
          <w:rPr>
            <w:rStyle w:val="Hyperlink"/>
            <w:rFonts w:ascii="Cambria" w:hAnsi="Cambria"/>
            <w:sz w:val="16"/>
            <w:lang w:val="en-US"/>
          </w:rPr>
          <w:t>pdf</w:t>
        </w:r>
      </w:hyperlink>
    </w:p>
    <w:sectPr w:rsidR="006E1027" w:rsidRPr="00A12787" w:rsidSect="00E75B2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259" w:right="1440" w:bottom="1440" w:left="1440" w:header="0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F4" w:rsidRDefault="004813F4" w:rsidP="00B2612E">
      <w:pPr>
        <w:spacing w:after="0" w:line="240" w:lineRule="auto"/>
      </w:pPr>
      <w:r>
        <w:separator/>
      </w:r>
    </w:p>
  </w:endnote>
  <w:endnote w:type="continuationSeparator" w:id="0">
    <w:p w:rsidR="004813F4" w:rsidRDefault="004813F4" w:rsidP="00B2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B7F" w:rsidRPr="00D53C8F" w:rsidRDefault="004E3B7F" w:rsidP="004E3B7F">
    <w:pPr>
      <w:pStyle w:val="Footer"/>
      <w:pBdr>
        <w:bottom w:val="single" w:sz="12" w:space="1" w:color="auto"/>
      </w:pBdr>
      <w:ind w:left="-567" w:right="-624"/>
      <w:jc w:val="both"/>
      <w:rPr>
        <w:rFonts w:ascii="Cambria" w:hAnsi="Cambria"/>
        <w:b/>
        <w:i/>
        <w:sz w:val="16"/>
        <w:szCs w:val="16"/>
        <w:lang w:val="ru-RU"/>
      </w:rPr>
    </w:pPr>
    <w:r>
      <w:rPr>
        <w:rFonts w:ascii="Cambria" w:hAnsi="Cambria"/>
        <w:b/>
        <w:i/>
        <w:sz w:val="16"/>
        <w:szCs w:val="16"/>
        <w:lang w:val="ru-RU"/>
      </w:rPr>
      <w:t>Предупреждение</w:t>
    </w:r>
  </w:p>
  <w:p w:rsidR="0077772D" w:rsidRPr="004E3B7F" w:rsidRDefault="004E3B7F" w:rsidP="004E3B7F">
    <w:pPr>
      <w:pStyle w:val="Footer"/>
      <w:ind w:left="-567" w:right="-624"/>
      <w:jc w:val="both"/>
      <w:rPr>
        <w:rFonts w:ascii="Cambria" w:hAnsi="Cambria"/>
        <w:i/>
        <w:sz w:val="16"/>
        <w:szCs w:val="16"/>
        <w:lang w:val="ru-RU"/>
      </w:rPr>
    </w:pPr>
    <w:r w:rsidRPr="00D53C8F">
      <w:rPr>
        <w:rFonts w:ascii="Cambria" w:hAnsi="Cambria"/>
        <w:i/>
        <w:sz w:val="16"/>
        <w:szCs w:val="16"/>
        <w:lang w:val="ru-RU"/>
      </w:rPr>
      <w:t>Агентство отказывается от любой ответственности в связи с любыми последствиями, толкованиями, выводами, рекомендациями и другими действиями, прямо или косвенно связанными с выводами и мнениями, содержащимися в исследовательских отчетах Агентства.</w:t>
    </w:r>
    <w:r>
      <w:rPr>
        <w:rFonts w:ascii="Cambria" w:hAnsi="Cambria"/>
        <w:i/>
        <w:sz w:val="16"/>
        <w:szCs w:val="16"/>
        <w:lang w:val="ru-RU"/>
      </w:rPr>
      <w:t xml:space="preserve"> </w:t>
    </w:r>
    <w:r w:rsidRPr="00D53C8F">
      <w:rPr>
        <w:rFonts w:ascii="Cambria" w:hAnsi="Cambria"/>
        <w:i/>
        <w:sz w:val="16"/>
        <w:szCs w:val="16"/>
        <w:lang w:val="ru-RU"/>
      </w:rPr>
      <w:t>Настоящий отчет представляет</w:t>
    </w:r>
    <w:r>
      <w:rPr>
        <w:rFonts w:ascii="Cambria" w:hAnsi="Cambria"/>
        <w:i/>
        <w:sz w:val="16"/>
        <w:szCs w:val="16"/>
        <w:lang w:val="ru-RU"/>
      </w:rPr>
      <w:t xml:space="preserve"> мнение рейтингового агентства </w:t>
    </w:r>
    <w:r w:rsidRPr="004E3B7F">
      <w:rPr>
        <w:rFonts w:ascii="Cambria" w:hAnsi="Cambria"/>
        <w:i/>
        <w:sz w:val="16"/>
        <w:szCs w:val="16"/>
        <w:lang w:val="ru-RU"/>
      </w:rPr>
      <w:t>Rating-Agentur Expert RA GmbH</w:t>
    </w:r>
    <w:r w:rsidRPr="00D53C8F">
      <w:rPr>
        <w:rFonts w:ascii="Cambria" w:hAnsi="Cambria"/>
        <w:i/>
        <w:sz w:val="16"/>
        <w:szCs w:val="16"/>
        <w:lang w:val="ru-RU"/>
      </w:rPr>
      <w:t xml:space="preserve"> и не является рекомендацией покупать, удерживать или продавать какие-либо ценные бумаги или активы или принимать инвестиционные решения.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3B" w:rsidRPr="00D53C8F" w:rsidRDefault="00831A3B" w:rsidP="00831A3B">
    <w:pPr>
      <w:pStyle w:val="Footer"/>
      <w:pBdr>
        <w:bottom w:val="single" w:sz="12" w:space="1" w:color="auto"/>
      </w:pBdr>
      <w:ind w:left="-567" w:right="-624"/>
      <w:jc w:val="both"/>
      <w:rPr>
        <w:rFonts w:ascii="Cambria" w:hAnsi="Cambria"/>
        <w:b/>
        <w:i/>
        <w:sz w:val="16"/>
        <w:szCs w:val="16"/>
        <w:lang w:val="ru-RU"/>
      </w:rPr>
    </w:pPr>
    <w:r>
      <w:rPr>
        <w:rFonts w:ascii="Cambria" w:hAnsi="Cambria"/>
        <w:b/>
        <w:i/>
        <w:sz w:val="16"/>
        <w:szCs w:val="16"/>
        <w:lang w:val="ru-RU"/>
      </w:rPr>
      <w:t>Предупреждение</w:t>
    </w:r>
  </w:p>
  <w:p w:rsidR="0077772D" w:rsidRPr="00831A3B" w:rsidRDefault="00831A3B" w:rsidP="00831A3B">
    <w:pPr>
      <w:pStyle w:val="Footer"/>
      <w:ind w:left="-567" w:right="-624"/>
      <w:jc w:val="both"/>
      <w:rPr>
        <w:rFonts w:ascii="Cambria" w:hAnsi="Cambria"/>
        <w:i/>
        <w:sz w:val="16"/>
        <w:szCs w:val="16"/>
        <w:lang w:val="ru-RU"/>
      </w:rPr>
    </w:pPr>
    <w:r w:rsidRPr="00D53C8F">
      <w:rPr>
        <w:rFonts w:ascii="Cambria" w:hAnsi="Cambria"/>
        <w:i/>
        <w:sz w:val="16"/>
        <w:szCs w:val="16"/>
        <w:lang w:val="ru-RU"/>
      </w:rPr>
      <w:t>Агентство отказывается от любой ответственности в связи с любыми последствиями, толкованиями, выводами, рекомендациями и другими действиями, прямо или косвенно связанными с выводами и мнениями, содержащимися в исследовательских отчетах Агентства.</w:t>
    </w:r>
    <w:r>
      <w:rPr>
        <w:rFonts w:ascii="Cambria" w:hAnsi="Cambria"/>
        <w:i/>
        <w:sz w:val="16"/>
        <w:szCs w:val="16"/>
        <w:lang w:val="ru-RU"/>
      </w:rPr>
      <w:t xml:space="preserve"> </w:t>
    </w:r>
    <w:r w:rsidRPr="00D53C8F">
      <w:rPr>
        <w:rFonts w:ascii="Cambria" w:hAnsi="Cambria"/>
        <w:i/>
        <w:sz w:val="16"/>
        <w:szCs w:val="16"/>
        <w:lang w:val="ru-RU"/>
      </w:rPr>
      <w:t>Настоящий отчет представляет</w:t>
    </w:r>
    <w:r>
      <w:rPr>
        <w:rFonts w:ascii="Cambria" w:hAnsi="Cambria"/>
        <w:i/>
        <w:sz w:val="16"/>
        <w:szCs w:val="16"/>
        <w:lang w:val="ru-RU"/>
      </w:rPr>
      <w:t xml:space="preserve"> мнение рейтингового агентства </w:t>
    </w:r>
    <w:r w:rsidRPr="004E3B7F">
      <w:rPr>
        <w:rFonts w:ascii="Cambria" w:hAnsi="Cambria"/>
        <w:i/>
        <w:sz w:val="16"/>
        <w:szCs w:val="16"/>
        <w:lang w:val="ru-RU"/>
      </w:rPr>
      <w:t>Rating-Agentur Expert RA GmbH</w:t>
    </w:r>
    <w:r w:rsidRPr="00D53C8F">
      <w:rPr>
        <w:rFonts w:ascii="Cambria" w:hAnsi="Cambria"/>
        <w:i/>
        <w:sz w:val="16"/>
        <w:szCs w:val="16"/>
        <w:lang w:val="ru-RU"/>
      </w:rPr>
      <w:t xml:space="preserve"> и не является рекомендацией покупать, удерживать или продавать какие-либо ценные бумаги или активы или принимать инвестиционные решения.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F4" w:rsidRDefault="004813F4" w:rsidP="00B2612E">
      <w:pPr>
        <w:spacing w:after="0" w:line="240" w:lineRule="auto"/>
      </w:pPr>
      <w:r>
        <w:separator/>
      </w:r>
    </w:p>
  </w:footnote>
  <w:footnote w:type="continuationSeparator" w:id="0">
    <w:p w:rsidR="004813F4" w:rsidRDefault="004813F4" w:rsidP="00B2612E">
      <w:pPr>
        <w:spacing w:after="0" w:line="240" w:lineRule="auto"/>
      </w:pPr>
      <w:r>
        <w:continuationSeparator/>
      </w:r>
    </w:p>
  </w:footnote>
  <w:footnote w:id="1">
    <w:p w:rsidR="00BB1F0D" w:rsidRPr="00BB1F0D" w:rsidRDefault="00BB1F0D" w:rsidP="00BB1F0D">
      <w:pPr>
        <w:pStyle w:val="FootnoteText"/>
        <w:rPr>
          <w:rFonts w:ascii="Cambria" w:hAnsi="Cambria"/>
          <w:sz w:val="12"/>
          <w:lang w:val="ru-RU"/>
        </w:rPr>
      </w:pPr>
      <w:r w:rsidRPr="00125041">
        <w:rPr>
          <w:rStyle w:val="FootnoteReference"/>
          <w:rFonts w:ascii="Cambria" w:hAnsi="Cambria"/>
          <w:sz w:val="12"/>
        </w:rPr>
        <w:footnoteRef/>
      </w:r>
      <w:r w:rsidRPr="00BB1F0D">
        <w:rPr>
          <w:rFonts w:ascii="Cambria" w:hAnsi="Cambria"/>
          <w:sz w:val="12"/>
          <w:lang w:val="ru-RU"/>
        </w:rPr>
        <w:t xml:space="preserve"> </w:t>
      </w:r>
      <w:r>
        <w:rPr>
          <w:rFonts w:ascii="Cambria" w:hAnsi="Cambria"/>
          <w:sz w:val="12"/>
          <w:lang w:val="ru-RU"/>
        </w:rPr>
        <w:t>Указанная цифра была пересмотрена МВФ в сторону уменьшения.</w:t>
      </w:r>
    </w:p>
  </w:footnote>
  <w:footnote w:id="2">
    <w:p w:rsidR="00AA5112" w:rsidRPr="0030097A" w:rsidRDefault="00AA5112" w:rsidP="00AA5112">
      <w:pPr>
        <w:pStyle w:val="FootnoteText"/>
        <w:jc w:val="both"/>
        <w:rPr>
          <w:rFonts w:ascii="Cambria" w:hAnsi="Cambria"/>
          <w:sz w:val="16"/>
          <w:szCs w:val="16"/>
          <w:lang w:val="en-US"/>
        </w:rPr>
      </w:pPr>
      <w:r w:rsidRPr="0030097A">
        <w:rPr>
          <w:rStyle w:val="FootnoteReference"/>
          <w:rFonts w:ascii="Cambria" w:hAnsi="Cambria"/>
          <w:sz w:val="16"/>
          <w:szCs w:val="16"/>
        </w:rPr>
        <w:footnoteRef/>
      </w:r>
      <w:r w:rsidRPr="0030097A">
        <w:rPr>
          <w:rFonts w:ascii="Cambria" w:hAnsi="Cambria"/>
          <w:sz w:val="16"/>
          <w:szCs w:val="16"/>
        </w:rPr>
        <w:t xml:space="preserve"> It includes revenues and expenditures for extra budgetary funds (primarily the Fund for Reconstruction and Development), lending and borrowing, and externally financed expenditures.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2D" w:rsidRPr="001C5BB3" w:rsidRDefault="0077772D" w:rsidP="00C07CDE">
    <w:pPr>
      <w:pStyle w:val="Header"/>
      <w:ind w:left="8640" w:right="-897"/>
      <w:rPr>
        <w:rFonts w:ascii="Cambria" w:hAnsi="Cambria"/>
        <w:b/>
        <w:color w:val="7F7F7F" w:themeColor="background1" w:themeShade="7F"/>
        <w:spacing w:val="6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43C941BD" wp14:editId="1AEBC0E3">
          <wp:simplePos x="0" y="0"/>
          <wp:positionH relativeFrom="column">
            <wp:posOffset>-615950</wp:posOffset>
          </wp:positionH>
          <wp:positionV relativeFrom="paragraph">
            <wp:posOffset>57150</wp:posOffset>
          </wp:positionV>
          <wp:extent cx="2515870" cy="627380"/>
          <wp:effectExtent l="0" t="0" r="0" b="1270"/>
          <wp:wrapTight wrapText="bothSides">
            <wp:wrapPolygon edited="0">
              <wp:start x="0" y="0"/>
              <wp:lineTo x="0" y="20988"/>
              <wp:lineTo x="21426" y="20988"/>
              <wp:lineTo x="21426" y="0"/>
              <wp:lineTo x="0" y="0"/>
            </wp:wrapPolygon>
          </wp:wrapTight>
          <wp:docPr id="13" name="Picture 13" descr="C:\Users\alvarez\AppData\Local\Microsoft\Windows\Temporary Internet Files\Content.Word\Logo_RAEX_GMBH_Sog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rez\AppData\Local\Microsoft\Windows\Temporary Internet Files\Content.Word\Logo_RAEX_GMBH_Sog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8"/>
                  <a:stretch/>
                </pic:blipFill>
                <pic:spPr bwMode="auto">
                  <a:xfrm>
                    <a:off x="0" y="0"/>
                    <a:ext cx="251587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BB3">
      <w:rPr>
        <w:rFonts w:ascii="Cambria" w:hAnsi="Cambria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53740B" wp14:editId="5997B0F2">
              <wp:simplePos x="0" y="0"/>
              <wp:positionH relativeFrom="column">
                <wp:posOffset>-753110</wp:posOffset>
              </wp:positionH>
              <wp:positionV relativeFrom="paragraph">
                <wp:posOffset>729615</wp:posOffset>
              </wp:positionV>
              <wp:extent cx="72000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7EACBB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3pt,57.45pt" to="507.6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" strokecolor="#747070 [1614]" strokeweight="1pt">
              <v:stroke joinstyle="miter"/>
            </v:line>
          </w:pict>
        </mc:Fallback>
      </mc:AlternateContent>
    </w:r>
    <w:r w:rsidRPr="001C5BB3">
      <w:rPr>
        <w:rFonts w:ascii="Cambria" w:hAnsi="Cambria"/>
        <w:b/>
        <w:sz w:val="20"/>
        <w:szCs w:val="20"/>
      </w:rPr>
      <w:br/>
    </w:r>
  </w:p>
  <w:p w:rsidR="0077772D" w:rsidRPr="001C5BB3" w:rsidRDefault="0077772D" w:rsidP="00C07CDE">
    <w:pPr>
      <w:pStyle w:val="Header"/>
      <w:ind w:left="8505" w:right="-567"/>
      <w:rPr>
        <w:rFonts w:ascii="Cambria" w:hAnsi="Cambria"/>
        <w:b/>
        <w:sz w:val="20"/>
        <w:szCs w:val="20"/>
      </w:rPr>
    </w:pPr>
    <w:r w:rsidRPr="001C5BB3">
      <w:rPr>
        <w:rFonts w:ascii="Cambria" w:hAnsi="Cambria"/>
        <w:b/>
        <w:color w:val="7F7F7F" w:themeColor="background1" w:themeShade="7F"/>
        <w:spacing w:val="60"/>
        <w:sz w:val="20"/>
        <w:szCs w:val="20"/>
      </w:rPr>
      <w:t>Page</w:t>
    </w:r>
    <w:r w:rsidRPr="001C5BB3">
      <w:rPr>
        <w:rFonts w:ascii="Cambria" w:hAnsi="Cambria"/>
        <w:b/>
        <w:sz w:val="20"/>
        <w:szCs w:val="20"/>
      </w:rPr>
      <w:t xml:space="preserve"> | </w:t>
    </w:r>
    <w:r w:rsidRPr="001C5BB3">
      <w:rPr>
        <w:rFonts w:ascii="Cambria" w:hAnsi="Cambria"/>
        <w:b/>
        <w:sz w:val="20"/>
        <w:szCs w:val="20"/>
      </w:rPr>
      <w:fldChar w:fldCharType="begin"/>
    </w:r>
    <w:r w:rsidRPr="001C5BB3">
      <w:rPr>
        <w:rFonts w:ascii="Cambria" w:hAnsi="Cambria"/>
        <w:b/>
        <w:sz w:val="20"/>
        <w:szCs w:val="20"/>
      </w:rPr>
      <w:instrText xml:space="preserve"> PAGE   \* MERGEFORMAT </w:instrText>
    </w:r>
    <w:r w:rsidRPr="001C5BB3">
      <w:rPr>
        <w:rFonts w:ascii="Cambria" w:hAnsi="Cambria"/>
        <w:b/>
        <w:sz w:val="20"/>
        <w:szCs w:val="20"/>
      </w:rPr>
      <w:fldChar w:fldCharType="separate"/>
    </w:r>
    <w:r w:rsidR="00E97973" w:rsidRPr="00E97973">
      <w:rPr>
        <w:rFonts w:ascii="Cambria" w:hAnsi="Cambria"/>
        <w:b/>
        <w:bCs/>
        <w:noProof/>
        <w:sz w:val="20"/>
        <w:szCs w:val="20"/>
      </w:rPr>
      <w:t>4</w:t>
    </w:r>
    <w:r w:rsidRPr="001C5BB3">
      <w:rPr>
        <w:rFonts w:ascii="Cambria" w:hAnsi="Cambria"/>
        <w:b/>
        <w:bCs/>
        <w:noProof/>
        <w:sz w:val="20"/>
        <w:szCs w:val="20"/>
      </w:rPr>
      <w:fldChar w:fldCharType="end"/>
    </w:r>
  </w:p>
  <w:p w:rsidR="0077772D" w:rsidRPr="001C5BB3" w:rsidRDefault="0077772D" w:rsidP="00C07CDE">
    <w:pPr>
      <w:pStyle w:val="Header"/>
      <w:ind w:left="8640" w:right="-897"/>
      <w:rPr>
        <w:rFonts w:ascii="Cambria" w:hAnsi="Cambria"/>
        <w:b/>
        <w:color w:val="7F7F7F" w:themeColor="background1" w:themeShade="7F"/>
        <w:spacing w:val="60"/>
        <w:sz w:val="20"/>
        <w:szCs w:val="20"/>
      </w:rPr>
    </w:pPr>
    <w:r w:rsidRPr="001C5BB3">
      <w:rPr>
        <w:rFonts w:ascii="Cambria" w:hAnsi="Cambria"/>
        <w:b/>
        <w:sz w:val="20"/>
        <w:szCs w:val="20"/>
      </w:rPr>
      <w:br/>
    </w:r>
  </w:p>
  <w:p w:rsidR="0077772D" w:rsidRPr="001C5BB3" w:rsidRDefault="0077772D" w:rsidP="002856B1">
    <w:pPr>
      <w:pStyle w:val="Header"/>
      <w:ind w:left="-1418"/>
      <w:rPr>
        <w:rFonts w:ascii="Cambria" w:hAnsi="Cambri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4"/>
      <w:gridCol w:w="6662"/>
    </w:tblGrid>
    <w:tr w:rsidR="0077772D" w:rsidRPr="006E1027" w:rsidTr="00F342AE">
      <w:trPr>
        <w:trHeight w:val="1550"/>
      </w:trPr>
      <w:tc>
        <w:tcPr>
          <w:tcW w:w="4254" w:type="dxa"/>
        </w:tcPr>
        <w:p w:rsidR="0077772D" w:rsidRPr="004629AF" w:rsidRDefault="0077772D" w:rsidP="004629AF">
          <w:pPr>
            <w:pStyle w:val="Header"/>
            <w:rPr>
              <w:rFonts w:ascii="Cambria" w:hAnsi="Cambria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72576" behindDoc="0" locked="0" layoutInCell="1" allowOverlap="1" wp14:anchorId="2B6C23C9" wp14:editId="7C481B3F">
                <wp:simplePos x="0" y="0"/>
                <wp:positionH relativeFrom="column">
                  <wp:posOffset>-50165</wp:posOffset>
                </wp:positionH>
                <wp:positionV relativeFrom="paragraph">
                  <wp:posOffset>168910</wp:posOffset>
                </wp:positionV>
                <wp:extent cx="2516400" cy="626400"/>
                <wp:effectExtent l="0" t="0" r="0" b="2540"/>
                <wp:wrapNone/>
                <wp:docPr id="14" name="Picture 14" descr="C:\Users\alvarez\AppData\Local\Microsoft\Windows\Temporary Internet Files\Content.Word\Logo_RAEX_GMBH_Sog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varez\AppData\Local\Microsoft\Windows\Temporary Internet Files\Content.Word\Logo_RAEX_GMBH_Sog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98"/>
                        <a:stretch/>
                      </pic:blipFill>
                      <pic:spPr bwMode="auto">
                        <a:xfrm>
                          <a:off x="0" y="0"/>
                          <a:ext cx="25164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shd w:val="clear" w:color="auto" w:fill="000000" w:themeFill="text1"/>
          <w:vAlign w:val="center"/>
        </w:tcPr>
        <w:p w:rsidR="0077772D" w:rsidRPr="006E1027" w:rsidRDefault="006E1027" w:rsidP="00344731">
          <w:pPr>
            <w:pStyle w:val="Header"/>
            <w:jc w:val="center"/>
            <w:rPr>
              <w:rFonts w:ascii="Cambria" w:hAnsi="Cambria"/>
              <w:color w:val="FFFFFF" w:themeColor="background1"/>
              <w:sz w:val="44"/>
              <w:szCs w:val="44"/>
              <w:lang w:val="ru-RU"/>
            </w:rPr>
          </w:pPr>
          <w:r w:rsidRPr="006E1027">
            <w:rPr>
              <w:rFonts w:ascii="Cambria" w:hAnsi="Cambria"/>
              <w:color w:val="FFFFFF" w:themeColor="background1"/>
              <w:sz w:val="44"/>
              <w:szCs w:val="44"/>
              <w:lang w:val="ru-RU"/>
            </w:rPr>
            <w:t xml:space="preserve">Отчет о кредитных рейтингах </w:t>
          </w:r>
          <w:r>
            <w:rPr>
              <w:rFonts w:ascii="Cambria" w:hAnsi="Cambria"/>
              <w:color w:val="FFFFFF" w:themeColor="background1"/>
              <w:sz w:val="44"/>
              <w:szCs w:val="44"/>
              <w:lang w:val="ru-RU"/>
            </w:rPr>
            <w:t>Узбекистана</w:t>
          </w:r>
        </w:p>
        <w:p w:rsidR="0077772D" w:rsidRPr="006E1027" w:rsidRDefault="0077772D" w:rsidP="00040C65">
          <w:pPr>
            <w:rPr>
              <w:lang w:val="ru-RU"/>
            </w:rPr>
          </w:pPr>
        </w:p>
      </w:tc>
    </w:tr>
    <w:tr w:rsidR="0077772D" w:rsidRPr="004629AF" w:rsidTr="00F342AE">
      <w:trPr>
        <w:trHeight w:val="340"/>
      </w:trPr>
      <w:tc>
        <w:tcPr>
          <w:tcW w:w="4254" w:type="dxa"/>
          <w:shd w:val="clear" w:color="auto" w:fill="FF9900"/>
        </w:tcPr>
        <w:p w:rsidR="0077772D" w:rsidRPr="006E1027" w:rsidRDefault="0077772D" w:rsidP="004629AF">
          <w:pPr>
            <w:pStyle w:val="Header"/>
            <w:rPr>
              <w:rFonts w:ascii="Cambria" w:hAnsi="Cambria"/>
              <w:b/>
              <w:color w:val="FFFFFF" w:themeColor="background1"/>
              <w:lang w:val="ru-RU"/>
            </w:rPr>
          </w:pPr>
        </w:p>
      </w:tc>
      <w:tc>
        <w:tcPr>
          <w:tcW w:w="6662" w:type="dxa"/>
          <w:shd w:val="clear" w:color="auto" w:fill="FF9900"/>
          <w:vAlign w:val="center"/>
        </w:tcPr>
        <w:p w:rsidR="0077772D" w:rsidRPr="004629AF" w:rsidRDefault="0077772D" w:rsidP="006E1027">
          <w:pPr>
            <w:pStyle w:val="Header"/>
            <w:jc w:val="right"/>
            <w:rPr>
              <w:rFonts w:ascii="Cambria" w:hAnsi="Cambria"/>
              <w:b/>
              <w:color w:val="FFFFFF" w:themeColor="background1"/>
            </w:rPr>
          </w:pPr>
          <w:r>
            <w:rPr>
              <w:rFonts w:ascii="Cambria" w:hAnsi="Cambria"/>
              <w:b/>
              <w:color w:val="FFFFFF" w:themeColor="background1"/>
              <w:lang w:val="en-US"/>
            </w:rPr>
            <w:t xml:space="preserve">8 </w:t>
          </w:r>
          <w:r w:rsidR="006E1027">
            <w:rPr>
              <w:rFonts w:ascii="Cambria" w:hAnsi="Cambria"/>
              <w:b/>
              <w:color w:val="FFFFFF" w:themeColor="background1"/>
              <w:lang w:val="ru-RU"/>
            </w:rPr>
            <w:t>Марта</w:t>
          </w:r>
          <w:r>
            <w:rPr>
              <w:rFonts w:ascii="Cambria" w:hAnsi="Cambria"/>
              <w:b/>
              <w:color w:val="FFFFFF" w:themeColor="background1"/>
              <w:lang w:val="en-US"/>
            </w:rPr>
            <w:t xml:space="preserve"> 2019</w:t>
          </w:r>
        </w:p>
      </w:tc>
    </w:tr>
  </w:tbl>
  <w:p w:rsidR="0077772D" w:rsidRDefault="0077772D" w:rsidP="004629AF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0957"/>
    <w:multiLevelType w:val="hybridMultilevel"/>
    <w:tmpl w:val="57C8ED00"/>
    <w:lvl w:ilvl="0" w:tplc="B8E6E89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AD1"/>
    <w:multiLevelType w:val="hybridMultilevel"/>
    <w:tmpl w:val="6822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2E"/>
    <w:rsid w:val="00007589"/>
    <w:rsid w:val="0001109F"/>
    <w:rsid w:val="00025D19"/>
    <w:rsid w:val="00030107"/>
    <w:rsid w:val="00032F34"/>
    <w:rsid w:val="0003637A"/>
    <w:rsid w:val="00040C65"/>
    <w:rsid w:val="000423F4"/>
    <w:rsid w:val="00060EC0"/>
    <w:rsid w:val="00066142"/>
    <w:rsid w:val="00092184"/>
    <w:rsid w:val="000A3B26"/>
    <w:rsid w:val="000B1284"/>
    <w:rsid w:val="000B5D6C"/>
    <w:rsid w:val="000C3929"/>
    <w:rsid w:val="000D35DC"/>
    <w:rsid w:val="000D47E8"/>
    <w:rsid w:val="000D7E27"/>
    <w:rsid w:val="000E37F0"/>
    <w:rsid w:val="000F32BE"/>
    <w:rsid w:val="00103067"/>
    <w:rsid w:val="00115F7C"/>
    <w:rsid w:val="001214E6"/>
    <w:rsid w:val="00123B14"/>
    <w:rsid w:val="00125024"/>
    <w:rsid w:val="00125041"/>
    <w:rsid w:val="00130F30"/>
    <w:rsid w:val="00134F27"/>
    <w:rsid w:val="0014268F"/>
    <w:rsid w:val="00153C50"/>
    <w:rsid w:val="00170D1E"/>
    <w:rsid w:val="00184ECD"/>
    <w:rsid w:val="00185F1A"/>
    <w:rsid w:val="00193FE8"/>
    <w:rsid w:val="001A674D"/>
    <w:rsid w:val="001A7220"/>
    <w:rsid w:val="001B5596"/>
    <w:rsid w:val="001C5BB3"/>
    <w:rsid w:val="001D06CB"/>
    <w:rsid w:val="001D5287"/>
    <w:rsid w:val="001F20EA"/>
    <w:rsid w:val="001F38FC"/>
    <w:rsid w:val="00206F7F"/>
    <w:rsid w:val="0021337B"/>
    <w:rsid w:val="00214B23"/>
    <w:rsid w:val="002334CA"/>
    <w:rsid w:val="002373E7"/>
    <w:rsid w:val="00241320"/>
    <w:rsid w:val="00242381"/>
    <w:rsid w:val="00246DDB"/>
    <w:rsid w:val="00253D96"/>
    <w:rsid w:val="00260429"/>
    <w:rsid w:val="002620E1"/>
    <w:rsid w:val="00266195"/>
    <w:rsid w:val="00270454"/>
    <w:rsid w:val="002754A7"/>
    <w:rsid w:val="00281A34"/>
    <w:rsid w:val="002856B1"/>
    <w:rsid w:val="00287C4E"/>
    <w:rsid w:val="00290522"/>
    <w:rsid w:val="002B0C8B"/>
    <w:rsid w:val="002B4504"/>
    <w:rsid w:val="002D2F63"/>
    <w:rsid w:val="002E4B2F"/>
    <w:rsid w:val="002F1CEB"/>
    <w:rsid w:val="002F56D4"/>
    <w:rsid w:val="002F6835"/>
    <w:rsid w:val="0030097A"/>
    <w:rsid w:val="003264D7"/>
    <w:rsid w:val="0032795E"/>
    <w:rsid w:val="00327FE6"/>
    <w:rsid w:val="00332710"/>
    <w:rsid w:val="00340631"/>
    <w:rsid w:val="0034222A"/>
    <w:rsid w:val="00344731"/>
    <w:rsid w:val="00354A16"/>
    <w:rsid w:val="00354DA2"/>
    <w:rsid w:val="003733C9"/>
    <w:rsid w:val="003767FF"/>
    <w:rsid w:val="00383FE4"/>
    <w:rsid w:val="0039148F"/>
    <w:rsid w:val="00393989"/>
    <w:rsid w:val="00394143"/>
    <w:rsid w:val="00395829"/>
    <w:rsid w:val="00397126"/>
    <w:rsid w:val="003A0C3B"/>
    <w:rsid w:val="003C21B8"/>
    <w:rsid w:val="003E3BEB"/>
    <w:rsid w:val="003F6797"/>
    <w:rsid w:val="004032C1"/>
    <w:rsid w:val="00412EC3"/>
    <w:rsid w:val="004133BF"/>
    <w:rsid w:val="00415944"/>
    <w:rsid w:val="00416BD0"/>
    <w:rsid w:val="004302C4"/>
    <w:rsid w:val="004332FD"/>
    <w:rsid w:val="004341F3"/>
    <w:rsid w:val="00460A97"/>
    <w:rsid w:val="004629AF"/>
    <w:rsid w:val="0047525D"/>
    <w:rsid w:val="0047588D"/>
    <w:rsid w:val="004813F4"/>
    <w:rsid w:val="004A581F"/>
    <w:rsid w:val="004C36F1"/>
    <w:rsid w:val="004C5657"/>
    <w:rsid w:val="004D4F88"/>
    <w:rsid w:val="004E0025"/>
    <w:rsid w:val="004E0BE3"/>
    <w:rsid w:val="004E3B7F"/>
    <w:rsid w:val="004E4A51"/>
    <w:rsid w:val="004E7215"/>
    <w:rsid w:val="004F2BE5"/>
    <w:rsid w:val="004F2F00"/>
    <w:rsid w:val="00501B27"/>
    <w:rsid w:val="00510048"/>
    <w:rsid w:val="00516186"/>
    <w:rsid w:val="00517C1D"/>
    <w:rsid w:val="005302A7"/>
    <w:rsid w:val="005517A0"/>
    <w:rsid w:val="00565420"/>
    <w:rsid w:val="00570937"/>
    <w:rsid w:val="00585A34"/>
    <w:rsid w:val="005B2854"/>
    <w:rsid w:val="005D3DB5"/>
    <w:rsid w:val="005D71C4"/>
    <w:rsid w:val="005E60E2"/>
    <w:rsid w:val="005F1BD4"/>
    <w:rsid w:val="00603322"/>
    <w:rsid w:val="00617DCA"/>
    <w:rsid w:val="0062628C"/>
    <w:rsid w:val="00630B5C"/>
    <w:rsid w:val="006338C9"/>
    <w:rsid w:val="00636203"/>
    <w:rsid w:val="006559D7"/>
    <w:rsid w:val="00664CC3"/>
    <w:rsid w:val="00664F1B"/>
    <w:rsid w:val="00670A7B"/>
    <w:rsid w:val="00671488"/>
    <w:rsid w:val="00680782"/>
    <w:rsid w:val="00690E0F"/>
    <w:rsid w:val="006B3837"/>
    <w:rsid w:val="006D77BD"/>
    <w:rsid w:val="006E0978"/>
    <w:rsid w:val="006E1027"/>
    <w:rsid w:val="006E34F0"/>
    <w:rsid w:val="006F0174"/>
    <w:rsid w:val="00750BCC"/>
    <w:rsid w:val="00757ED4"/>
    <w:rsid w:val="0076156E"/>
    <w:rsid w:val="00765F33"/>
    <w:rsid w:val="0077772D"/>
    <w:rsid w:val="00791C0B"/>
    <w:rsid w:val="007A7192"/>
    <w:rsid w:val="007B3EA3"/>
    <w:rsid w:val="007C40CB"/>
    <w:rsid w:val="007D7503"/>
    <w:rsid w:val="007E2AC8"/>
    <w:rsid w:val="007E6389"/>
    <w:rsid w:val="007F48CB"/>
    <w:rsid w:val="00810EF6"/>
    <w:rsid w:val="00816DA7"/>
    <w:rsid w:val="008307FB"/>
    <w:rsid w:val="00831A3B"/>
    <w:rsid w:val="00832100"/>
    <w:rsid w:val="008354D0"/>
    <w:rsid w:val="00850578"/>
    <w:rsid w:val="00857A3B"/>
    <w:rsid w:val="00861F97"/>
    <w:rsid w:val="008670B7"/>
    <w:rsid w:val="00870475"/>
    <w:rsid w:val="008A7AE3"/>
    <w:rsid w:val="008B4D65"/>
    <w:rsid w:val="008B6FCE"/>
    <w:rsid w:val="008F3FC5"/>
    <w:rsid w:val="008F770D"/>
    <w:rsid w:val="00900710"/>
    <w:rsid w:val="009109AA"/>
    <w:rsid w:val="00910A9A"/>
    <w:rsid w:val="00911161"/>
    <w:rsid w:val="00912F30"/>
    <w:rsid w:val="00932F93"/>
    <w:rsid w:val="00951937"/>
    <w:rsid w:val="00951F9B"/>
    <w:rsid w:val="0096530F"/>
    <w:rsid w:val="00965534"/>
    <w:rsid w:val="00975B84"/>
    <w:rsid w:val="00981281"/>
    <w:rsid w:val="00981C23"/>
    <w:rsid w:val="00991816"/>
    <w:rsid w:val="009B2F66"/>
    <w:rsid w:val="009B705B"/>
    <w:rsid w:val="009C3959"/>
    <w:rsid w:val="009D0559"/>
    <w:rsid w:val="009D504F"/>
    <w:rsid w:val="009F014B"/>
    <w:rsid w:val="00A02C47"/>
    <w:rsid w:val="00A07C82"/>
    <w:rsid w:val="00A12122"/>
    <w:rsid w:val="00A12787"/>
    <w:rsid w:val="00A16770"/>
    <w:rsid w:val="00A2264B"/>
    <w:rsid w:val="00A231D4"/>
    <w:rsid w:val="00A2507E"/>
    <w:rsid w:val="00A72CB5"/>
    <w:rsid w:val="00A75E1D"/>
    <w:rsid w:val="00A81468"/>
    <w:rsid w:val="00A908F9"/>
    <w:rsid w:val="00A9281D"/>
    <w:rsid w:val="00A96D69"/>
    <w:rsid w:val="00AA2AE5"/>
    <w:rsid w:val="00AA5112"/>
    <w:rsid w:val="00AB03D5"/>
    <w:rsid w:val="00AD4D7D"/>
    <w:rsid w:val="00AF10B1"/>
    <w:rsid w:val="00AF5AD4"/>
    <w:rsid w:val="00B054E4"/>
    <w:rsid w:val="00B15E90"/>
    <w:rsid w:val="00B25472"/>
    <w:rsid w:val="00B2612E"/>
    <w:rsid w:val="00B272B9"/>
    <w:rsid w:val="00B30749"/>
    <w:rsid w:val="00B31E39"/>
    <w:rsid w:val="00B44C99"/>
    <w:rsid w:val="00B50B18"/>
    <w:rsid w:val="00B517F1"/>
    <w:rsid w:val="00B673F0"/>
    <w:rsid w:val="00B67D2D"/>
    <w:rsid w:val="00B83026"/>
    <w:rsid w:val="00B948FC"/>
    <w:rsid w:val="00BA04C9"/>
    <w:rsid w:val="00BA1FE0"/>
    <w:rsid w:val="00BA61CA"/>
    <w:rsid w:val="00BB1F0D"/>
    <w:rsid w:val="00BB1F3B"/>
    <w:rsid w:val="00BC3F64"/>
    <w:rsid w:val="00BD070C"/>
    <w:rsid w:val="00BD40B6"/>
    <w:rsid w:val="00BE0924"/>
    <w:rsid w:val="00BF5FF3"/>
    <w:rsid w:val="00C07CDE"/>
    <w:rsid w:val="00C07D21"/>
    <w:rsid w:val="00C25172"/>
    <w:rsid w:val="00C27DEB"/>
    <w:rsid w:val="00C422A4"/>
    <w:rsid w:val="00C42A2B"/>
    <w:rsid w:val="00C45330"/>
    <w:rsid w:val="00C57277"/>
    <w:rsid w:val="00C57DB1"/>
    <w:rsid w:val="00C7105B"/>
    <w:rsid w:val="00C7307E"/>
    <w:rsid w:val="00C73430"/>
    <w:rsid w:val="00C769D0"/>
    <w:rsid w:val="00C82A48"/>
    <w:rsid w:val="00C92D21"/>
    <w:rsid w:val="00C9338A"/>
    <w:rsid w:val="00C97BE7"/>
    <w:rsid w:val="00C97E77"/>
    <w:rsid w:val="00CC0A63"/>
    <w:rsid w:val="00CD6E18"/>
    <w:rsid w:val="00CE3734"/>
    <w:rsid w:val="00CE3C52"/>
    <w:rsid w:val="00D01420"/>
    <w:rsid w:val="00D0430F"/>
    <w:rsid w:val="00D22D96"/>
    <w:rsid w:val="00D266DD"/>
    <w:rsid w:val="00D402C4"/>
    <w:rsid w:val="00D502D0"/>
    <w:rsid w:val="00D53F7E"/>
    <w:rsid w:val="00D55F7B"/>
    <w:rsid w:val="00D6100F"/>
    <w:rsid w:val="00D7041A"/>
    <w:rsid w:val="00D708CF"/>
    <w:rsid w:val="00D76687"/>
    <w:rsid w:val="00D94383"/>
    <w:rsid w:val="00DB0502"/>
    <w:rsid w:val="00DB0507"/>
    <w:rsid w:val="00DB0FBE"/>
    <w:rsid w:val="00DB370B"/>
    <w:rsid w:val="00DC4241"/>
    <w:rsid w:val="00DD1A29"/>
    <w:rsid w:val="00DE0225"/>
    <w:rsid w:val="00DE7722"/>
    <w:rsid w:val="00DF067C"/>
    <w:rsid w:val="00E07B1E"/>
    <w:rsid w:val="00E157E0"/>
    <w:rsid w:val="00E2009F"/>
    <w:rsid w:val="00E22DFE"/>
    <w:rsid w:val="00E5594E"/>
    <w:rsid w:val="00E61762"/>
    <w:rsid w:val="00E70D0C"/>
    <w:rsid w:val="00E724BF"/>
    <w:rsid w:val="00E75B29"/>
    <w:rsid w:val="00E84C9A"/>
    <w:rsid w:val="00E93680"/>
    <w:rsid w:val="00E97973"/>
    <w:rsid w:val="00EA6628"/>
    <w:rsid w:val="00EA7946"/>
    <w:rsid w:val="00ED5A4D"/>
    <w:rsid w:val="00EE448F"/>
    <w:rsid w:val="00EF7C61"/>
    <w:rsid w:val="00F01B0A"/>
    <w:rsid w:val="00F24EFC"/>
    <w:rsid w:val="00F2758E"/>
    <w:rsid w:val="00F342AE"/>
    <w:rsid w:val="00F42E93"/>
    <w:rsid w:val="00F44042"/>
    <w:rsid w:val="00F45D09"/>
    <w:rsid w:val="00F66394"/>
    <w:rsid w:val="00F837E2"/>
    <w:rsid w:val="00F903FE"/>
    <w:rsid w:val="00FB26D5"/>
    <w:rsid w:val="00FC3262"/>
    <w:rsid w:val="00FD20C5"/>
    <w:rsid w:val="00FD5D15"/>
    <w:rsid w:val="00FE3940"/>
    <w:rsid w:val="00FF3CBC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E8A1EF2-7765-4492-86E1-557241B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2E"/>
  </w:style>
  <w:style w:type="paragraph" w:styleId="Footer">
    <w:name w:val="footer"/>
    <w:basedOn w:val="Normal"/>
    <w:link w:val="FooterChar"/>
    <w:uiPriority w:val="99"/>
    <w:unhideWhenUsed/>
    <w:rsid w:val="00B2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2E"/>
  </w:style>
  <w:style w:type="table" w:styleId="TableGrid">
    <w:name w:val="Table Grid"/>
    <w:basedOn w:val="TableNormal"/>
    <w:uiPriority w:val="39"/>
    <w:rsid w:val="00B2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70C"/>
    <w:rPr>
      <w:color w:val="0000FF"/>
      <w:u w:val="single"/>
    </w:rPr>
  </w:style>
  <w:style w:type="paragraph" w:styleId="NoSpacing">
    <w:name w:val="No Spacing"/>
    <w:uiPriority w:val="1"/>
    <w:qFormat/>
    <w:rsid w:val="00BD070C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0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9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9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5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7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0710"/>
    <w:pPr>
      <w:ind w:left="720"/>
      <w:contextualSpacing/>
    </w:pPr>
  </w:style>
  <w:style w:type="paragraph" w:styleId="Revision">
    <w:name w:val="Revision"/>
    <w:hidden/>
    <w:uiPriority w:val="99"/>
    <w:semiHidden/>
    <w:rsid w:val="00C42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chakov@raexpert.eu" TargetMode="External"/><Relationship Id="rId13" Type="http://schemas.openxmlformats.org/officeDocument/2006/relationships/chart" Target="charts/chart4.xml"/><Relationship Id="rId18" Type="http://schemas.openxmlformats.org/officeDocument/2006/relationships/hyperlink" Target="https://raexpert.eu/reports/Press_release_Uzbekistan_08.03.2019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hyperlink" Target="https://raexpert.eu/reports/Research_report_Uzbekistan_08.03.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expert.eu/" TargetMode="External"/><Relationship Id="rId14" Type="http://schemas.openxmlformats.org/officeDocument/2006/relationships/chart" Target="charts/chart5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expert.local\gmbh\storage\6.%20Rating%20Service\Ratings%20-%20Sovereign\2.%20Ratings\7.%20Uzbekistan\2019\Actualization%2008.03.2019\3.%20Calculations\Template%20-%20RATINGS%20DYNAMICS%20GRAPH_V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expert.local\gmbh\storage\6.%20Rating%20Service\Ratings%20-%20Sovereign\2.%20Ratings\7.%20Uzbekistan\2019\Actualization%2008.03.2019\4.%20Additional%20material%20for%20analysis\Graphs%20template_Final_RUS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Sheet1!$J$21</c:f>
              <c:strCache>
                <c:ptCount val="1"/>
                <c:pt idx="0">
                  <c:v>SGC (LC)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297E46F6-3132-403A-A505-4BF934191B41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{297E46F6-3132-403A-A505-4BF934191B41}</c15:txfldGUID>
                      <c15:f>Sheet1!$K$14</c15:f>
                      <c15:dlblFieldTableCache>
                        <c:ptCount val="1"/>
                        <c:pt idx="0">
                          <c:v>B+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FB6333C6-7F21-443F-B870-91DB448AC557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{FB6333C6-7F21-443F-B870-91DB448AC557}</c15:txfldGUID>
                      <c15:f>Sheet1!$L$14</c15:f>
                      <c15:dlblFieldTableCache>
                        <c:ptCount val="1"/>
                        <c:pt idx="0">
                          <c:v>B+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F4585F7-DEFA-460E-8D1B-0993901383B4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{5F4585F7-DEFA-460E-8D1B-0993901383B4}</c15:txfldGUID>
                      <c15:f>Sheet1!$M$14</c15:f>
                      <c15:dlblFieldTableCache>
                        <c:ptCount val="1"/>
                        <c:pt idx="0">
                          <c:v>BB-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4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Sheet1!$K$18:$M$18</c:f>
              <c:strCache>
                <c:ptCount val="3"/>
                <c:pt idx="0">
                  <c:v>Mar 2018</c:v>
                </c:pt>
                <c:pt idx="1">
                  <c:v>Sep 2018</c:v>
                </c:pt>
                <c:pt idx="2">
                  <c:v>Mar 2019</c:v>
                </c:pt>
              </c:strCache>
            </c:strRef>
          </c:cat>
          <c:val>
            <c:numRef>
              <c:f>Sheet1!$K$21:$M$21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Sheet1!$J$22</c:f>
              <c:strCache>
                <c:ptCount val="1"/>
                <c:pt idx="0">
                  <c:v>SGC (FC)</c:v>
                </c:pt>
              </c:strCache>
            </c:strRef>
          </c:tx>
          <c:spPr>
            <a:pattFill prst="wdDnDiag">
              <a:fgClr>
                <a:srgbClr val="FFC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32F2529E-97B4-455C-9F44-E00DC5CB18A4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{32F2529E-97B4-455C-9F44-E00DC5CB18A4}</c15:txfldGUID>
                      <c15:f>Sheet1!$K$15</c15:f>
                      <c15:dlblFieldTableCache>
                        <c:ptCount val="1"/>
                        <c:pt idx="0">
                          <c:v>B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91135B10-7C83-474F-B4A8-7932D08DB7F8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{91135B10-7C83-474F-B4A8-7932D08DB7F8}</c15:txfldGUID>
                      <c15:f>Sheet1!$L$15</c15:f>
                      <c15:dlblFieldTableCache>
                        <c:ptCount val="1"/>
                        <c:pt idx="0">
                          <c:v>B+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A380C3C-7136-4E0E-8DE6-ED486A94CB55}" type="CELLREF">
                      <a:rPr lang="en-US"/>
                      <a:pPr/>
                      <a:t>[CELLREF]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>
                    <c15:dlblFTEntry>
                      <c15:txfldGUID>{5A380C3C-7136-4E0E-8DE6-ED486A94CB55}</c15:txfldGUID>
                      <c15:f>Sheet1!$M$15</c15:f>
                      <c15:dlblFieldTableCache>
                        <c:ptCount val="1"/>
                        <c:pt idx="0">
                          <c:v>BB-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4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Sheet1!$K$18:$M$18</c:f>
              <c:strCache>
                <c:ptCount val="3"/>
                <c:pt idx="0">
                  <c:v>Mar 2018</c:v>
                </c:pt>
                <c:pt idx="1">
                  <c:v>Sep 2018</c:v>
                </c:pt>
                <c:pt idx="2">
                  <c:v>Mar 2019</c:v>
                </c:pt>
              </c:strCache>
            </c:strRef>
          </c:cat>
          <c:val>
            <c:numRef>
              <c:f>Sheet1!$K$22:$M$22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0"/>
        <c:overlap val="-50"/>
        <c:axId val="210989760"/>
        <c:axId val="210990320"/>
      </c:barChart>
      <c:catAx>
        <c:axId val="21098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210990320"/>
        <c:crosses val="autoZero"/>
        <c:auto val="1"/>
        <c:lblAlgn val="ctr"/>
        <c:lblOffset val="100"/>
        <c:noMultiLvlLbl val="0"/>
      </c:catAx>
      <c:valAx>
        <c:axId val="2109903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21098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Economy!$B$12</c:f>
              <c:strCache>
                <c:ptCount val="1"/>
                <c:pt idx="0">
                  <c:v>Инфляция на конец года, рост год-к-году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pattFill prst="pct7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pct7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Economy!$F$9:$J$9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Economy!$F$12:$J$12</c:f>
              <c:numCache>
                <c:formatCode>0.0</c:formatCode>
                <c:ptCount val="5"/>
                <c:pt idx="0">
                  <c:v>9.8000000000000007</c:v>
                </c:pt>
                <c:pt idx="1">
                  <c:v>18.8</c:v>
                </c:pt>
                <c:pt idx="2">
                  <c:v>14.3</c:v>
                </c:pt>
                <c:pt idx="3">
                  <c:v>15.6</c:v>
                </c:pt>
                <c:pt idx="4">
                  <c:v>12.4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-100"/>
        <c:axId val="438816704"/>
        <c:axId val="438826784"/>
      </c:barChart>
      <c:lineChart>
        <c:grouping val="standard"/>
        <c:varyColors val="0"/>
        <c:ser>
          <c:idx val="0"/>
          <c:order val="0"/>
          <c:tx>
            <c:strRef>
              <c:f>Economy!$B$10</c:f>
              <c:strCache>
                <c:ptCount val="1"/>
                <c:pt idx="0">
                  <c:v>ВВП в реальном выражении, рост год-к-году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dPt>
            <c:idx val="4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cat>
            <c:strRef>
              <c:f>Economy!$F$9:$J$9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Economy!$F$10:$J$10</c:f>
              <c:numCache>
                <c:formatCode>0.0</c:formatCode>
                <c:ptCount val="5"/>
                <c:pt idx="0">
                  <c:v>6.2</c:v>
                </c:pt>
                <c:pt idx="1">
                  <c:v>4.5</c:v>
                </c:pt>
                <c:pt idx="2">
                  <c:v>5.0999999999999996</c:v>
                </c:pt>
                <c:pt idx="3">
                  <c:v>5.5</c:v>
                </c:pt>
                <c:pt idx="4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Economy!$B$11</c:f>
              <c:strCache>
                <c:ptCount val="1"/>
                <c:pt idx="0">
                  <c:v>Безработица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Economy!$F$9:$J$9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Economy!$F$11:$J$11</c:f>
              <c:numCache>
                <c:formatCode>0.0</c:formatCode>
                <c:ptCount val="5"/>
                <c:pt idx="0">
                  <c:v>7.5139999389648402</c:v>
                </c:pt>
                <c:pt idx="1">
                  <c:v>7.1760001182556197</c:v>
                </c:pt>
                <c:pt idx="2">
                  <c:v>6.9029998779296902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816704"/>
        <c:axId val="438826784"/>
      </c:lineChart>
      <c:catAx>
        <c:axId val="43881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38826784"/>
        <c:crosses val="autoZero"/>
        <c:auto val="1"/>
        <c:lblAlgn val="ctr"/>
        <c:lblOffset val="100"/>
        <c:noMultiLvlLbl val="0"/>
      </c:catAx>
      <c:valAx>
        <c:axId val="438826784"/>
        <c:scaling>
          <c:orientation val="minMax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3881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878682172235025E-2"/>
          <c:y val="6.4675925925925928E-2"/>
          <c:w val="0.80042885490104865"/>
          <c:h val="0.5445129629629629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Fiscal!$B$35</c:f>
              <c:strCache>
                <c:ptCount val="1"/>
                <c:pt idx="0">
                  <c:v>Баланс бюджета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pattFill prst="pct7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pct6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Fiscal!$C$33:$G$33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Fiscal!$C$35:$G$35</c:f>
              <c:numCache>
                <c:formatCode>0.00</c:formatCode>
                <c:ptCount val="5"/>
                <c:pt idx="0">
                  <c:v>0.2</c:v>
                </c:pt>
                <c:pt idx="1">
                  <c:v>0.8</c:v>
                </c:pt>
                <c:pt idx="2">
                  <c:v>0.6</c:v>
                </c:pt>
                <c:pt idx="3">
                  <c:v>-0.8</c:v>
                </c:pt>
                <c:pt idx="4">
                  <c:v>-1.2</c:v>
                </c:pt>
              </c:numCache>
            </c:numRef>
          </c:val>
        </c:ser>
        <c:ser>
          <c:idx val="2"/>
          <c:order val="2"/>
          <c:tx>
            <c:strRef>
              <c:f>Fiscal!$B$36</c:f>
              <c:strCache>
                <c:ptCount val="1"/>
                <c:pt idx="0">
                  <c:v>Консолидированный баланс бюджета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pattFill prst="pct70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pct70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Fiscal!$C$33:$G$33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Fiscal!$C$36:$G$36</c:f>
              <c:numCache>
                <c:formatCode>0.00</c:formatCode>
                <c:ptCount val="5"/>
                <c:pt idx="0">
                  <c:v>1.9</c:v>
                </c:pt>
                <c:pt idx="1">
                  <c:v>2.1</c:v>
                </c:pt>
                <c:pt idx="2">
                  <c:v>2.7</c:v>
                </c:pt>
                <c:pt idx="3">
                  <c:v>0.6</c:v>
                </c:pt>
                <c:pt idx="4">
                  <c:v>0.4</c:v>
                </c:pt>
              </c:numCache>
            </c:numRef>
          </c:val>
        </c:ser>
        <c:ser>
          <c:idx val="3"/>
          <c:order val="3"/>
          <c:tx>
            <c:strRef>
              <c:f>Fiscal!$B$37</c:f>
              <c:strCache>
                <c:ptCount val="1"/>
                <c:pt idx="0">
                  <c:v>Совокупный баланс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pattFill prst="pct70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pct70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Fiscal!$C$33:$G$33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Fiscal!$C$37:$G$37</c:f>
              <c:numCache>
                <c:formatCode>0.00</c:formatCode>
                <c:ptCount val="5"/>
                <c:pt idx="0">
                  <c:v>-0.6</c:v>
                </c:pt>
                <c:pt idx="1">
                  <c:v>-2.1</c:v>
                </c:pt>
                <c:pt idx="2">
                  <c:v>-2.5</c:v>
                </c:pt>
                <c:pt idx="3">
                  <c:v>-2</c:v>
                </c:pt>
                <c:pt idx="4">
                  <c:v>-2.1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129456"/>
        <c:axId val="318128896"/>
      </c:barChart>
      <c:lineChart>
        <c:grouping val="standard"/>
        <c:varyColors val="0"/>
        <c:ser>
          <c:idx val="0"/>
          <c:order val="0"/>
          <c:tx>
            <c:strRef>
              <c:f>Fiscal!$B$34</c:f>
              <c:strCache>
                <c:ptCount val="1"/>
                <c:pt idx="0">
                  <c:v>Государственный долг (правая шкала)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dPt>
            <c:idx val="4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cat>
            <c:strRef>
              <c:f>Fiscal!$C$33:$G$33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</c:strCache>
            </c:strRef>
          </c:cat>
          <c:val>
            <c:numRef>
              <c:f>Fiscal!$C$34:$G$34</c:f>
              <c:numCache>
                <c:formatCode>0.00</c:formatCode>
                <c:ptCount val="5"/>
                <c:pt idx="0">
                  <c:v>10.5</c:v>
                </c:pt>
                <c:pt idx="1">
                  <c:v>24.1</c:v>
                </c:pt>
                <c:pt idx="2">
                  <c:v>24.6</c:v>
                </c:pt>
                <c:pt idx="3">
                  <c:v>27.9</c:v>
                </c:pt>
                <c:pt idx="4">
                  <c:v>29.3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131136"/>
        <c:axId val="318126656"/>
      </c:lineChart>
      <c:catAx>
        <c:axId val="31812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8128896"/>
        <c:crosses val="autoZero"/>
        <c:auto val="1"/>
        <c:lblAlgn val="ctr"/>
        <c:lblOffset val="100"/>
        <c:noMultiLvlLbl val="0"/>
      </c:catAx>
      <c:valAx>
        <c:axId val="31812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8129456"/>
        <c:crosses val="autoZero"/>
        <c:crossBetween val="between"/>
      </c:valAx>
      <c:valAx>
        <c:axId val="318126656"/>
        <c:scaling>
          <c:orientation val="minMax"/>
          <c:min val="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8131136"/>
        <c:crosses val="max"/>
        <c:crossBetween val="between"/>
      </c:valAx>
      <c:catAx>
        <c:axId val="318131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181266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237977554582349E-2"/>
          <c:y val="0.78034537037037033"/>
          <c:w val="0.97856479682383823"/>
          <c:h val="0.21377500000000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89444444444445"/>
          <c:y val="6.4675925925925928E-2"/>
          <c:w val="0.78544325396825398"/>
          <c:h val="0.446866203703703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Banking!$B$39</c:f>
              <c:strCache>
                <c:ptCount val="1"/>
                <c:pt idx="0">
                  <c:v>ROA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Banking!$C$38:$N$38</c:f>
              <c:strCache>
                <c:ptCount val="12"/>
                <c:pt idx="0">
                  <c:v>1Q 2016</c:v>
                </c:pt>
                <c:pt idx="1">
                  <c:v>2Q 2016</c:v>
                </c:pt>
                <c:pt idx="2">
                  <c:v>3Q 2016</c:v>
                </c:pt>
                <c:pt idx="3">
                  <c:v>4Q 2016</c:v>
                </c:pt>
                <c:pt idx="4">
                  <c:v>1Q 2017</c:v>
                </c:pt>
                <c:pt idx="5">
                  <c:v>2Q 2017</c:v>
                </c:pt>
                <c:pt idx="6">
                  <c:v>3Q 2017</c:v>
                </c:pt>
                <c:pt idx="7">
                  <c:v>4Q 2017</c:v>
                </c:pt>
                <c:pt idx="8">
                  <c:v>1Q 2018</c:v>
                </c:pt>
                <c:pt idx="9">
                  <c:v>2Q 2018</c:v>
                </c:pt>
                <c:pt idx="10">
                  <c:v>3Q 2018</c:v>
                </c:pt>
                <c:pt idx="11">
                  <c:v>4Q 2018</c:v>
                </c:pt>
              </c:strCache>
            </c:strRef>
          </c:cat>
          <c:val>
            <c:numRef>
              <c:f>Banking!$C$39:$N$39</c:f>
              <c:numCache>
                <c:formatCode>0.0</c:formatCode>
                <c:ptCount val="12"/>
                <c:pt idx="0">
                  <c:v>2.2796571646167751</c:v>
                </c:pt>
                <c:pt idx="1">
                  <c:v>2.1639369971152322</c:v>
                </c:pt>
                <c:pt idx="2">
                  <c:v>2.0351106741829605</c:v>
                </c:pt>
                <c:pt idx="3">
                  <c:v>1.9951837739806115</c:v>
                </c:pt>
                <c:pt idx="4">
                  <c:v>2.3522090241174833</c:v>
                </c:pt>
                <c:pt idx="5">
                  <c:v>2.3303539737242076</c:v>
                </c:pt>
                <c:pt idx="6">
                  <c:v>2.5607109649535333</c:v>
                </c:pt>
                <c:pt idx="7">
                  <c:v>1.8672216826671935</c:v>
                </c:pt>
                <c:pt idx="8">
                  <c:v>2.0058522391162952</c:v>
                </c:pt>
                <c:pt idx="9">
                  <c:v>1.7774720614504258</c:v>
                </c:pt>
                <c:pt idx="10">
                  <c:v>1.5603799265354288</c:v>
                </c:pt>
                <c:pt idx="11">
                  <c:v>2.0461992968475187</c:v>
                </c:pt>
              </c:numCache>
            </c:numRef>
          </c:val>
        </c:ser>
        <c:ser>
          <c:idx val="1"/>
          <c:order val="1"/>
          <c:tx>
            <c:strRef>
              <c:f>Banking!$B$40</c:f>
              <c:strCache>
                <c:ptCount val="1"/>
                <c:pt idx="0">
                  <c:v>Отношение неработающих кредитов к совокупным кредитам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Banking!$C$38:$N$38</c:f>
              <c:strCache>
                <c:ptCount val="12"/>
                <c:pt idx="0">
                  <c:v>1Q 2016</c:v>
                </c:pt>
                <c:pt idx="1">
                  <c:v>2Q 2016</c:v>
                </c:pt>
                <c:pt idx="2">
                  <c:v>3Q 2016</c:v>
                </c:pt>
                <c:pt idx="3">
                  <c:v>4Q 2016</c:v>
                </c:pt>
                <c:pt idx="4">
                  <c:v>1Q 2017</c:v>
                </c:pt>
                <c:pt idx="5">
                  <c:v>2Q 2017</c:v>
                </c:pt>
                <c:pt idx="6">
                  <c:v>3Q 2017</c:v>
                </c:pt>
                <c:pt idx="7">
                  <c:v>4Q 2017</c:v>
                </c:pt>
                <c:pt idx="8">
                  <c:v>1Q 2018</c:v>
                </c:pt>
                <c:pt idx="9">
                  <c:v>2Q 2018</c:v>
                </c:pt>
                <c:pt idx="10">
                  <c:v>3Q 2018</c:v>
                </c:pt>
                <c:pt idx="11">
                  <c:v>4Q 2018</c:v>
                </c:pt>
              </c:strCache>
            </c:strRef>
          </c:cat>
          <c:val>
            <c:numRef>
              <c:f>Banking!$C$40:$N$40</c:f>
              <c:numCache>
                <c:formatCode>0.0</c:formatCode>
                <c:ptCount val="12"/>
                <c:pt idx="0">
                  <c:v>1.4302747828240088</c:v>
                </c:pt>
                <c:pt idx="1">
                  <c:v>1.2742185470541569</c:v>
                </c:pt>
                <c:pt idx="2">
                  <c:v>1.1161210087473592</c:v>
                </c:pt>
                <c:pt idx="3">
                  <c:v>0.74408667877242252</c:v>
                </c:pt>
                <c:pt idx="4">
                  <c:v>0.86335182602303817</c:v>
                </c:pt>
                <c:pt idx="5">
                  <c:v>0.79471658715917459</c:v>
                </c:pt>
                <c:pt idx="6">
                  <c:v>1.114658679480139</c:v>
                </c:pt>
                <c:pt idx="7">
                  <c:v>1.1978075306929588</c:v>
                </c:pt>
                <c:pt idx="8">
                  <c:v>1.1679551006979583</c:v>
                </c:pt>
                <c:pt idx="9">
                  <c:v>1.3168214525256687</c:v>
                </c:pt>
                <c:pt idx="10">
                  <c:v>1.3253490683948137</c:v>
                </c:pt>
                <c:pt idx="11">
                  <c:v>1.2787164431301432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817264"/>
        <c:axId val="438811664"/>
      </c:barChart>
      <c:lineChart>
        <c:grouping val="standard"/>
        <c:varyColors val="0"/>
        <c:ser>
          <c:idx val="2"/>
          <c:order val="2"/>
          <c:tx>
            <c:strRef>
              <c:f>Banking!$B$41</c:f>
              <c:strCache>
                <c:ptCount val="1"/>
                <c:pt idx="0">
                  <c:v>Капитал к активам (правая шкала)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Banking!$C$38:$N$38</c:f>
              <c:strCache>
                <c:ptCount val="12"/>
                <c:pt idx="0">
                  <c:v>1Q 2016</c:v>
                </c:pt>
                <c:pt idx="1">
                  <c:v>2Q 2016</c:v>
                </c:pt>
                <c:pt idx="2">
                  <c:v>3Q 2016</c:v>
                </c:pt>
                <c:pt idx="3">
                  <c:v>4Q 2016</c:v>
                </c:pt>
                <c:pt idx="4">
                  <c:v>1Q 2017</c:v>
                </c:pt>
                <c:pt idx="5">
                  <c:v>2Q 2017</c:v>
                </c:pt>
                <c:pt idx="6">
                  <c:v>3Q 2017</c:v>
                </c:pt>
                <c:pt idx="7">
                  <c:v>4Q 2017</c:v>
                </c:pt>
                <c:pt idx="8">
                  <c:v>1Q 2018</c:v>
                </c:pt>
                <c:pt idx="9">
                  <c:v>2Q 2018</c:v>
                </c:pt>
                <c:pt idx="10">
                  <c:v>3Q 2018</c:v>
                </c:pt>
                <c:pt idx="11">
                  <c:v>4Q 2018</c:v>
                </c:pt>
              </c:strCache>
            </c:strRef>
          </c:cat>
          <c:val>
            <c:numRef>
              <c:f>Banking!$C$41:$N$41</c:f>
              <c:numCache>
                <c:formatCode>0.0</c:formatCode>
                <c:ptCount val="12"/>
                <c:pt idx="0">
                  <c:v>11.542893096009566</c:v>
                </c:pt>
                <c:pt idx="1">
                  <c:v>11.140445690362389</c:v>
                </c:pt>
                <c:pt idx="2">
                  <c:v>11.068415709470113</c:v>
                </c:pt>
                <c:pt idx="3">
                  <c:v>10.682446091960072</c:v>
                </c:pt>
                <c:pt idx="4">
                  <c:v>10.788555205001819</c:v>
                </c:pt>
                <c:pt idx="5">
                  <c:v>10.141415638614763</c:v>
                </c:pt>
                <c:pt idx="6">
                  <c:v>9.9972993105706465</c:v>
                </c:pt>
                <c:pt idx="7">
                  <c:v>12.408284240902217</c:v>
                </c:pt>
                <c:pt idx="8">
                  <c:v>13.332154385775324</c:v>
                </c:pt>
                <c:pt idx="9">
                  <c:v>12.709011996568092</c:v>
                </c:pt>
                <c:pt idx="10">
                  <c:v>12.384005237902196</c:v>
                </c:pt>
                <c:pt idx="11">
                  <c:v>12.442404307667466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Banking!$B$42</c:f>
              <c:strCache>
                <c:ptCount val="1"/>
                <c:pt idx="0">
                  <c:v>Ликвидные активы (широкое определение) к совокупным активам (правая шкала)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Banking!$C$38:$N$38</c:f>
              <c:strCache>
                <c:ptCount val="12"/>
                <c:pt idx="0">
                  <c:v>1Q 2016</c:v>
                </c:pt>
                <c:pt idx="1">
                  <c:v>2Q 2016</c:v>
                </c:pt>
                <c:pt idx="2">
                  <c:v>3Q 2016</c:v>
                </c:pt>
                <c:pt idx="3">
                  <c:v>4Q 2016</c:v>
                </c:pt>
                <c:pt idx="4">
                  <c:v>1Q 2017</c:v>
                </c:pt>
                <c:pt idx="5">
                  <c:v>2Q 2017</c:v>
                </c:pt>
                <c:pt idx="6">
                  <c:v>3Q 2017</c:v>
                </c:pt>
                <c:pt idx="7">
                  <c:v>4Q 2017</c:v>
                </c:pt>
                <c:pt idx="8">
                  <c:v>1Q 2018</c:v>
                </c:pt>
                <c:pt idx="9">
                  <c:v>2Q 2018</c:v>
                </c:pt>
                <c:pt idx="10">
                  <c:v>3Q 2018</c:v>
                </c:pt>
                <c:pt idx="11">
                  <c:v>4Q 2018</c:v>
                </c:pt>
              </c:strCache>
            </c:strRef>
          </c:cat>
          <c:val>
            <c:numRef>
              <c:f>Banking!$C$42:$N$42</c:f>
              <c:numCache>
                <c:formatCode>0.0</c:formatCode>
                <c:ptCount val="12"/>
                <c:pt idx="0">
                  <c:v>24.757427420168423</c:v>
                </c:pt>
                <c:pt idx="1">
                  <c:v>24.516014887710597</c:v>
                </c:pt>
                <c:pt idx="2">
                  <c:v>23.432173264356653</c:v>
                </c:pt>
                <c:pt idx="3">
                  <c:v>25.364198733574465</c:v>
                </c:pt>
                <c:pt idx="4">
                  <c:v>21.891879275198693</c:v>
                </c:pt>
                <c:pt idx="5">
                  <c:v>21.234159704111462</c:v>
                </c:pt>
                <c:pt idx="6">
                  <c:v>25.672927006642205</c:v>
                </c:pt>
                <c:pt idx="7">
                  <c:v>23.629899734879793</c:v>
                </c:pt>
                <c:pt idx="8">
                  <c:v>21.715490463048887</c:v>
                </c:pt>
                <c:pt idx="9">
                  <c:v>18.567705618835713</c:v>
                </c:pt>
                <c:pt idx="10">
                  <c:v>15.99047051055836</c:v>
                </c:pt>
                <c:pt idx="11">
                  <c:v>13.642689704903797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821184"/>
        <c:axId val="438823984"/>
      </c:lineChart>
      <c:catAx>
        <c:axId val="43881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38811664"/>
        <c:crosses val="autoZero"/>
        <c:auto val="1"/>
        <c:lblAlgn val="ctr"/>
        <c:lblOffset val="100"/>
        <c:noMultiLvlLbl val="0"/>
      </c:catAx>
      <c:valAx>
        <c:axId val="43881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38817264"/>
        <c:crosses val="autoZero"/>
        <c:crossBetween val="between"/>
      </c:valAx>
      <c:valAx>
        <c:axId val="438823984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38821184"/>
        <c:crosses val="max"/>
        <c:crossBetween val="between"/>
      </c:valAx>
      <c:catAx>
        <c:axId val="438821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88239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7835462962962967"/>
          <c:w val="1"/>
          <c:h val="0.315765740740740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Monetary!$B$3</c:f>
              <c:strCache>
                <c:ptCount val="1"/>
                <c:pt idx="0">
                  <c:v>Ставка рефинансирования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Monetary!$C$2:$H$2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Monetary!$C$3:$H$3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14</c:v>
                </c:pt>
                <c:pt idx="5">
                  <c:v>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Monetary!$B$4</c:f>
              <c:strCache>
                <c:ptCount val="1"/>
                <c:pt idx="0">
                  <c:v>Ставка денежного рынка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Monetary!$C$2:$H$2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Monetary!$C$4:$H$4</c:f>
              <c:numCache>
                <c:formatCode>0.0</c:formatCode>
                <c:ptCount val="6"/>
                <c:pt idx="0">
                  <c:v>10.3</c:v>
                </c:pt>
                <c:pt idx="1">
                  <c:v>12.1</c:v>
                </c:pt>
                <c:pt idx="2">
                  <c:v>7.0189342755207349</c:v>
                </c:pt>
                <c:pt idx="3">
                  <c:v>8.8822131947653808</c:v>
                </c:pt>
                <c:pt idx="4">
                  <c:v>13.099378881987599</c:v>
                </c:pt>
                <c:pt idx="5" formatCode="0">
                  <c:v>14.8453345036147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Monetary!$B$5</c:f>
              <c:strCache>
                <c:ptCount val="1"/>
                <c:pt idx="0">
                  <c:v>Инфляция, год-к-году</c:v>
                </c:pt>
              </c:strCache>
            </c:strRef>
          </c:tx>
          <c:spPr>
            <a:ln w="1905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Monetary!$C$2:$H$2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Monetary!$C$5:$H$5</c:f>
              <c:numCache>
                <c:formatCode>0.0</c:formatCode>
                <c:ptCount val="6"/>
                <c:pt idx="0">
                  <c:v>10.804</c:v>
                </c:pt>
                <c:pt idx="1">
                  <c:v>9.2370000000000001</c:v>
                </c:pt>
                <c:pt idx="2">
                  <c:v>8.4269999999999996</c:v>
                </c:pt>
                <c:pt idx="3">
                  <c:v>9.8000000000000007</c:v>
                </c:pt>
                <c:pt idx="4">
                  <c:v>18.8</c:v>
                </c:pt>
                <c:pt idx="5">
                  <c:v>14.3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5196608"/>
        <c:axId val="375193808"/>
      </c:lineChart>
      <c:catAx>
        <c:axId val="3751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75193808"/>
        <c:crosses val="autoZero"/>
        <c:auto val="1"/>
        <c:lblAlgn val="ctr"/>
        <c:lblOffset val="100"/>
        <c:noMultiLvlLbl val="0"/>
      </c:catAx>
      <c:valAx>
        <c:axId val="375193808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7519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areaChart>
        <c:grouping val="standard"/>
        <c:varyColors val="0"/>
        <c:ser>
          <c:idx val="0"/>
          <c:order val="1"/>
          <c:tx>
            <c:strRef>
              <c:f>External!$B$12</c:f>
              <c:strCache>
                <c:ptCount val="1"/>
                <c:pt idx="0">
                  <c:v>Международные резервы, USD млрд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  <a:effectLst/>
          </c:spPr>
          <c:cat>
            <c:numRef>
              <c:f>External!$K$11:$AA$11</c:f>
              <c:numCache>
                <c:formatCode>mmm\-yy</c:formatCode>
                <c:ptCount val="17"/>
                <c:pt idx="0">
                  <c:v>42979</c:v>
                </c:pt>
                <c:pt idx="1">
                  <c:v>43009</c:v>
                </c:pt>
                <c:pt idx="2">
                  <c:v>43040</c:v>
                </c:pt>
                <c:pt idx="3">
                  <c:v>43070</c:v>
                </c:pt>
                <c:pt idx="4">
                  <c:v>43101</c:v>
                </c:pt>
                <c:pt idx="5">
                  <c:v>43132</c:v>
                </c:pt>
                <c:pt idx="6">
                  <c:v>43160</c:v>
                </c:pt>
                <c:pt idx="7">
                  <c:v>43191</c:v>
                </c:pt>
                <c:pt idx="8">
                  <c:v>43221</c:v>
                </c:pt>
                <c:pt idx="9">
                  <c:v>43252</c:v>
                </c:pt>
                <c:pt idx="10">
                  <c:v>43282</c:v>
                </c:pt>
                <c:pt idx="11">
                  <c:v>43313</c:v>
                </c:pt>
                <c:pt idx="12">
                  <c:v>43344</c:v>
                </c:pt>
                <c:pt idx="13">
                  <c:v>43374</c:v>
                </c:pt>
                <c:pt idx="14">
                  <c:v>43405</c:v>
                </c:pt>
                <c:pt idx="15">
                  <c:v>43435</c:v>
                </c:pt>
                <c:pt idx="16">
                  <c:v>43466</c:v>
                </c:pt>
              </c:numCache>
            </c:numRef>
          </c:cat>
          <c:val>
            <c:numRef>
              <c:f>External!$K$12:$AA$12</c:f>
              <c:numCache>
                <c:formatCode>0.0</c:formatCode>
                <c:ptCount val="17"/>
                <c:pt idx="0">
                  <c:v>27.654959999999999</c:v>
                </c:pt>
                <c:pt idx="1">
                  <c:v>27.46576</c:v>
                </c:pt>
                <c:pt idx="2">
                  <c:v>27.945360000000001</c:v>
                </c:pt>
                <c:pt idx="3">
                  <c:v>28.2028</c:v>
                </c:pt>
                <c:pt idx="4">
                  <c:v>28.07687</c:v>
                </c:pt>
                <c:pt idx="5">
                  <c:v>28.774549999999998</c:v>
                </c:pt>
                <c:pt idx="6">
                  <c:v>28.33671</c:v>
                </c:pt>
                <c:pt idx="7">
                  <c:v>28.494</c:v>
                </c:pt>
                <c:pt idx="8">
                  <c:v>28.351970000000001</c:v>
                </c:pt>
                <c:pt idx="9">
                  <c:v>28.1236</c:v>
                </c:pt>
                <c:pt idx="10">
                  <c:v>27.660450000000001</c:v>
                </c:pt>
                <c:pt idx="11">
                  <c:v>27.389900000000001</c:v>
                </c:pt>
                <c:pt idx="12">
                  <c:v>26.870840000000001</c:v>
                </c:pt>
                <c:pt idx="13">
                  <c:v>26.407340000000001</c:v>
                </c:pt>
                <c:pt idx="14">
                  <c:v>26.494119999999999</c:v>
                </c:pt>
                <c:pt idx="15">
                  <c:v>25.982990000000001</c:v>
                </c:pt>
                <c:pt idx="16">
                  <c:v>27.081409999999998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7788416"/>
        <c:axId val="317788976"/>
      </c:areaChart>
      <c:lineChart>
        <c:grouping val="standard"/>
        <c:varyColors val="0"/>
        <c:ser>
          <c:idx val="1"/>
          <c:order val="0"/>
          <c:tx>
            <c:strRef>
              <c:f>External!$B$13</c:f>
              <c:strCache>
                <c:ptCount val="1"/>
                <c:pt idx="0">
                  <c:v>Курс UZS к USD (правая шкала)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External!$K$11:$AA$11</c:f>
              <c:numCache>
                <c:formatCode>mmm\-yy</c:formatCode>
                <c:ptCount val="17"/>
                <c:pt idx="0">
                  <c:v>42979</c:v>
                </c:pt>
                <c:pt idx="1">
                  <c:v>43009</c:v>
                </c:pt>
                <c:pt idx="2">
                  <c:v>43040</c:v>
                </c:pt>
                <c:pt idx="3">
                  <c:v>43070</c:v>
                </c:pt>
                <c:pt idx="4">
                  <c:v>43101</c:v>
                </c:pt>
                <c:pt idx="5">
                  <c:v>43132</c:v>
                </c:pt>
                <c:pt idx="6">
                  <c:v>43160</c:v>
                </c:pt>
                <c:pt idx="7">
                  <c:v>43191</c:v>
                </c:pt>
                <c:pt idx="8">
                  <c:v>43221</c:v>
                </c:pt>
                <c:pt idx="9">
                  <c:v>43252</c:v>
                </c:pt>
                <c:pt idx="10">
                  <c:v>43282</c:v>
                </c:pt>
                <c:pt idx="11">
                  <c:v>43313</c:v>
                </c:pt>
                <c:pt idx="12">
                  <c:v>43344</c:v>
                </c:pt>
                <c:pt idx="13">
                  <c:v>43374</c:v>
                </c:pt>
                <c:pt idx="14">
                  <c:v>43405</c:v>
                </c:pt>
                <c:pt idx="15">
                  <c:v>43435</c:v>
                </c:pt>
                <c:pt idx="16">
                  <c:v>43466</c:v>
                </c:pt>
              </c:numCache>
            </c:numRef>
          </c:cat>
          <c:val>
            <c:numRef>
              <c:f>External!$K$13:$AA$13</c:f>
              <c:numCache>
                <c:formatCode>0</c:formatCode>
                <c:ptCount val="17"/>
                <c:pt idx="0">
                  <c:v>8066.96</c:v>
                </c:pt>
                <c:pt idx="1">
                  <c:v>8078.1195323879901</c:v>
                </c:pt>
                <c:pt idx="2">
                  <c:v>8095.88</c:v>
                </c:pt>
                <c:pt idx="3">
                  <c:v>8120.07</c:v>
                </c:pt>
                <c:pt idx="4">
                  <c:v>8175.77</c:v>
                </c:pt>
                <c:pt idx="5">
                  <c:v>8171.64</c:v>
                </c:pt>
                <c:pt idx="6">
                  <c:v>8114.86</c:v>
                </c:pt>
                <c:pt idx="7">
                  <c:v>8068.17</c:v>
                </c:pt>
                <c:pt idx="8">
                  <c:v>7982.25</c:v>
                </c:pt>
                <c:pt idx="9">
                  <c:v>7871.66</c:v>
                </c:pt>
                <c:pt idx="10">
                  <c:v>7791.88</c:v>
                </c:pt>
                <c:pt idx="11">
                  <c:v>7827.23</c:v>
                </c:pt>
                <c:pt idx="12">
                  <c:v>8079.28</c:v>
                </c:pt>
                <c:pt idx="13">
                  <c:v>8236.8700000000008</c:v>
                </c:pt>
                <c:pt idx="14">
                  <c:v>8299.2000000000007</c:v>
                </c:pt>
                <c:pt idx="15">
                  <c:v>8339.5499999999993</c:v>
                </c:pt>
                <c:pt idx="16">
                  <c:v>8384.94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797936"/>
        <c:axId val="317776656"/>
      </c:lineChart>
      <c:dateAx>
        <c:axId val="317788416"/>
        <c:scaling>
          <c:orientation val="minMax"/>
        </c:scaling>
        <c:delete val="0"/>
        <c:axPos val="b"/>
        <c:numFmt formatCode="[$-409]mmm\ 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788976"/>
        <c:crosses val="autoZero"/>
        <c:auto val="1"/>
        <c:lblOffset val="100"/>
        <c:baseTimeUnit val="months"/>
      </c:dateAx>
      <c:valAx>
        <c:axId val="31778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788416"/>
        <c:crosses val="autoZero"/>
        <c:crossBetween val="between"/>
      </c:valAx>
      <c:valAx>
        <c:axId val="317776656"/>
        <c:scaling>
          <c:orientation val="minMax"/>
          <c:min val="770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797936"/>
        <c:crosses val="max"/>
        <c:crossBetween val="between"/>
      </c:valAx>
      <c:dateAx>
        <c:axId val="317797936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7776656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Banking!$S$39</c:f>
              <c:strCache>
                <c:ptCount val="1"/>
                <c:pt idx="0">
                  <c:v>Кредиты в иностранной валюте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Banking!$T$38:$AR$38</c:f>
              <c:numCache>
                <c:formatCode>mmm\-yy</c:formatCode>
                <c:ptCount val="25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</c:numCache>
            </c:numRef>
          </c:cat>
          <c:val>
            <c:numRef>
              <c:f>Banking!$T$39:$AR$39</c:f>
              <c:numCache>
                <c:formatCode>0</c:formatCode>
                <c:ptCount val="25"/>
                <c:pt idx="0">
                  <c:v>42.784822158432021</c:v>
                </c:pt>
                <c:pt idx="1">
                  <c:v>42.843183603274284</c:v>
                </c:pt>
                <c:pt idx="2">
                  <c:v>42.893060020099355</c:v>
                </c:pt>
                <c:pt idx="3">
                  <c:v>42.83513200068181</c:v>
                </c:pt>
                <c:pt idx="4">
                  <c:v>42.112313946375771</c:v>
                </c:pt>
                <c:pt idx="5">
                  <c:v>41.859648379195818</c:v>
                </c:pt>
                <c:pt idx="6">
                  <c:v>42.659446191871815</c:v>
                </c:pt>
                <c:pt idx="7">
                  <c:v>43.639228973847537</c:v>
                </c:pt>
                <c:pt idx="8">
                  <c:v>44.731055161684516</c:v>
                </c:pt>
                <c:pt idx="9">
                  <c:v>61.009260018340825</c:v>
                </c:pt>
                <c:pt idx="10">
                  <c:v>61.851574864443329</c:v>
                </c:pt>
                <c:pt idx="11">
                  <c:v>62.278856652264395</c:v>
                </c:pt>
                <c:pt idx="12">
                  <c:v>62.259657779992637</c:v>
                </c:pt>
                <c:pt idx="13">
                  <c:v>61.93629930554517</c:v>
                </c:pt>
                <c:pt idx="14">
                  <c:v>61.342207573981867</c:v>
                </c:pt>
                <c:pt idx="15">
                  <c:v>59.574865369076278</c:v>
                </c:pt>
                <c:pt idx="16">
                  <c:v>58.970477387428389</c:v>
                </c:pt>
                <c:pt idx="17">
                  <c:v>57.795194744521559</c:v>
                </c:pt>
                <c:pt idx="18">
                  <c:v>56.819524461681013</c:v>
                </c:pt>
                <c:pt idx="19">
                  <c:v>55.511320194390336</c:v>
                </c:pt>
                <c:pt idx="20">
                  <c:v>55.356781605988104</c:v>
                </c:pt>
                <c:pt idx="21">
                  <c:v>54.806740919071942</c:v>
                </c:pt>
                <c:pt idx="22">
                  <c:v>55.839666551098645</c:v>
                </c:pt>
                <c:pt idx="23">
                  <c:v>55.747399742759363</c:v>
                </c:pt>
                <c:pt idx="24">
                  <c:v>55.873502822786655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Banking!$S$40</c:f>
              <c:strCache>
                <c:ptCount val="1"/>
                <c:pt idx="0">
                  <c:v>Депозиты в иностранной валюте</c:v>
                </c:pt>
              </c:strCache>
            </c:strRef>
          </c:tx>
          <c:spPr>
            <a:ln w="1905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Banking!$T$38:$AR$38</c:f>
              <c:numCache>
                <c:formatCode>mmm\-yy</c:formatCode>
                <c:ptCount val="25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</c:numCache>
            </c:numRef>
          </c:cat>
          <c:val>
            <c:numRef>
              <c:f>Banking!$T$40:$AR$40</c:f>
              <c:numCache>
                <c:formatCode>0</c:formatCode>
                <c:ptCount val="25"/>
                <c:pt idx="0">
                  <c:v>26.912226253324757</c:v>
                </c:pt>
                <c:pt idx="1">
                  <c:v>26.016111265227192</c:v>
                </c:pt>
                <c:pt idx="2">
                  <c:v>27.866683096440987</c:v>
                </c:pt>
                <c:pt idx="3">
                  <c:v>29.672140965584049</c:v>
                </c:pt>
                <c:pt idx="4">
                  <c:v>30.152130727330984</c:v>
                </c:pt>
                <c:pt idx="5">
                  <c:v>30.893478277201393</c:v>
                </c:pt>
                <c:pt idx="6">
                  <c:v>32.979458314836393</c:v>
                </c:pt>
                <c:pt idx="7">
                  <c:v>34.126606265174395</c:v>
                </c:pt>
                <c:pt idx="8">
                  <c:v>35.631084390585563</c:v>
                </c:pt>
                <c:pt idx="9">
                  <c:v>46.010662453323917</c:v>
                </c:pt>
                <c:pt idx="10">
                  <c:v>46.91867556258876</c:v>
                </c:pt>
                <c:pt idx="11">
                  <c:v>46.638236235209924</c:v>
                </c:pt>
                <c:pt idx="12">
                  <c:v>48.381969364839058</c:v>
                </c:pt>
                <c:pt idx="13">
                  <c:v>47.811955144953636</c:v>
                </c:pt>
                <c:pt idx="14">
                  <c:v>47.633691805961547</c:v>
                </c:pt>
                <c:pt idx="15">
                  <c:v>45.493753281524654</c:v>
                </c:pt>
                <c:pt idx="16">
                  <c:v>43.611304464439662</c:v>
                </c:pt>
                <c:pt idx="17">
                  <c:v>43.160251858902839</c:v>
                </c:pt>
                <c:pt idx="18">
                  <c:v>39.458771516395075</c:v>
                </c:pt>
                <c:pt idx="19">
                  <c:v>38.853586184165138</c:v>
                </c:pt>
                <c:pt idx="20">
                  <c:v>39.119858733553457</c:v>
                </c:pt>
                <c:pt idx="21">
                  <c:v>40.173393239475104</c:v>
                </c:pt>
                <c:pt idx="22">
                  <c:v>40.420936062986698</c:v>
                </c:pt>
                <c:pt idx="23">
                  <c:v>38.828380245645427</c:v>
                </c:pt>
                <c:pt idx="24">
                  <c:v>38.110549987094537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9906240"/>
        <c:axId val="429909040"/>
      </c:lineChart>
      <c:dateAx>
        <c:axId val="429906240"/>
        <c:scaling>
          <c:orientation val="minMax"/>
        </c:scaling>
        <c:delete val="0"/>
        <c:axPos val="b"/>
        <c:numFmt formatCode="[$-409]mmm\ 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29909040"/>
        <c:crosses val="autoZero"/>
        <c:auto val="1"/>
        <c:lblOffset val="100"/>
        <c:baseTimeUnit val="months"/>
      </c:dateAx>
      <c:valAx>
        <c:axId val="429909040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42990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External!$B$38</c:f>
              <c:strCache>
                <c:ptCount val="1"/>
                <c:pt idx="0">
                  <c:v>Внешний долг (правая шкала)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pattFill prst="pct6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pct6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pattFill prst="pct60">
                <a:fgClr>
                  <a:srgbClr val="FFC000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External!$C$36:$H$36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  <c:pt idx="5">
                  <c:v>2021f</c:v>
                </c:pt>
              </c:strCache>
            </c:strRef>
          </c:cat>
          <c:val>
            <c:numRef>
              <c:f>External!$C$38:$H$38</c:f>
              <c:numCache>
                <c:formatCode>0</c:formatCode>
                <c:ptCount val="6"/>
                <c:pt idx="0">
                  <c:v>22.6</c:v>
                </c:pt>
                <c:pt idx="1">
                  <c:v>40.5</c:v>
                </c:pt>
                <c:pt idx="2">
                  <c:v>41.1</c:v>
                </c:pt>
                <c:pt idx="3">
                  <c:v>40.6</c:v>
                </c:pt>
                <c:pt idx="4">
                  <c:v>39.700000000000003</c:v>
                </c:pt>
                <c:pt idx="5">
                  <c:v>37.9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865856"/>
        <c:axId val="317856336"/>
      </c:barChart>
      <c:lineChart>
        <c:grouping val="standard"/>
        <c:varyColors val="0"/>
        <c:ser>
          <c:idx val="0"/>
          <c:order val="0"/>
          <c:tx>
            <c:strRef>
              <c:f>External!$B$37</c:f>
              <c:strCache>
                <c:ptCount val="1"/>
                <c:pt idx="0">
                  <c:v>Баланс текущего счета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dPt>
            <c:idx val="4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dPt>
            <c:idx val="5"/>
            <c:marker>
              <c:symbol val="none"/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</c:dPt>
          <c:cat>
            <c:strRef>
              <c:f>External!$C$36:$H$36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2018e</c:v>
                </c:pt>
                <c:pt idx="3">
                  <c:v>2019f</c:v>
                </c:pt>
                <c:pt idx="4">
                  <c:v>2020f</c:v>
                </c:pt>
                <c:pt idx="5">
                  <c:v>2021f</c:v>
                </c:pt>
              </c:strCache>
            </c:strRef>
          </c:cat>
          <c:val>
            <c:numRef>
              <c:f>External!$C$37:$H$37</c:f>
              <c:numCache>
                <c:formatCode>0.0</c:formatCode>
                <c:ptCount val="6"/>
                <c:pt idx="0">
                  <c:v>0.3</c:v>
                </c:pt>
                <c:pt idx="1">
                  <c:v>1.4</c:v>
                </c:pt>
                <c:pt idx="2">
                  <c:v>-8.3000000000000007</c:v>
                </c:pt>
                <c:pt idx="3">
                  <c:v>-7.8</c:v>
                </c:pt>
                <c:pt idx="4">
                  <c:v>-6.6</c:v>
                </c:pt>
                <c:pt idx="5">
                  <c:v>-5.5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864176"/>
        <c:axId val="317854656"/>
      </c:lineChart>
      <c:catAx>
        <c:axId val="31786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854656"/>
        <c:crosses val="autoZero"/>
        <c:auto val="1"/>
        <c:lblAlgn val="ctr"/>
        <c:lblOffset val="100"/>
        <c:noMultiLvlLbl val="0"/>
      </c:catAx>
      <c:valAx>
        <c:axId val="31785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Dot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864176"/>
        <c:crosses val="autoZero"/>
        <c:crossBetween val="between"/>
      </c:valAx>
      <c:valAx>
        <c:axId val="317856336"/>
        <c:scaling>
          <c:orientation val="minMax"/>
          <c:min val="2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317865856"/>
        <c:crosses val="max"/>
        <c:crossBetween val="between"/>
      </c:valAx>
      <c:catAx>
        <c:axId val="317865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17856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Cambria" panose="020405030504060302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FE35-9885-4DDA-B287-FF1237AA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Alvarez</dc:creator>
  <cp:keywords/>
  <dc:description/>
  <cp:lastModifiedBy>Gorchakov Vladimir</cp:lastModifiedBy>
  <cp:revision>3</cp:revision>
  <cp:lastPrinted>2019-03-08T15:48:00Z</cp:lastPrinted>
  <dcterms:created xsi:type="dcterms:W3CDTF">2019-03-08T15:49:00Z</dcterms:created>
  <dcterms:modified xsi:type="dcterms:W3CDTF">2019-03-08T17:29:00Z</dcterms:modified>
</cp:coreProperties>
</file>